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FBA6" w14:textId="4A55566B" w:rsidR="00251E8C" w:rsidRPr="00DC314F" w:rsidRDefault="000A10F3" w:rsidP="000A10F3">
      <w:pPr>
        <w:jc w:val="center"/>
        <w:rPr>
          <w:rFonts w:ascii="Cambria" w:hAnsi="Cambria"/>
          <w:b/>
          <w:bCs/>
          <w:sz w:val="23"/>
          <w:szCs w:val="23"/>
          <w:u w:val="single"/>
        </w:rPr>
      </w:pPr>
      <w:r w:rsidRPr="00DC314F">
        <w:rPr>
          <w:rFonts w:ascii="Cambria" w:hAnsi="Cambria"/>
          <w:b/>
          <w:bCs/>
          <w:sz w:val="28"/>
          <w:szCs w:val="28"/>
          <w:u w:val="single"/>
        </w:rPr>
        <w:t>ACDS INCOME LIMITS</w:t>
      </w:r>
    </w:p>
    <w:p w14:paraId="4526C457" w14:textId="349958C1" w:rsidR="00D02C2F" w:rsidRPr="00251E8C" w:rsidRDefault="00251E8C" w:rsidP="00D02C2F">
      <w:pPr>
        <w:spacing w:line="360" w:lineRule="auto"/>
        <w:jc w:val="center"/>
        <w:rPr>
          <w:rFonts w:ascii="Cambria" w:hAnsi="Cambria"/>
          <w:sz w:val="23"/>
          <w:szCs w:val="23"/>
        </w:rPr>
      </w:pPr>
      <w:r w:rsidRPr="00D02C2F">
        <w:rPr>
          <w:rFonts w:ascii="Cambria" w:hAnsi="Cambria"/>
          <w:b/>
          <w:bCs/>
        </w:rPr>
        <w:t xml:space="preserve">Unless otherwise noted, the income limits below are effective as of June 15, 2023 and are </w:t>
      </w:r>
      <w:r w:rsidR="00D02C2F" w:rsidRPr="00D02C2F">
        <w:rPr>
          <w:rFonts w:ascii="Cambria" w:hAnsi="Cambria"/>
          <w:b/>
          <w:bCs/>
        </w:rPr>
        <w:t>taken</w:t>
      </w:r>
      <w:r w:rsidRPr="00D02C2F">
        <w:rPr>
          <w:rFonts w:ascii="Cambria" w:hAnsi="Cambria"/>
          <w:b/>
          <w:bCs/>
        </w:rPr>
        <w:t xml:space="preserve"> from the HUD Area Median Income Limits (adjusted for household size) for the Baltimore Metropolitan Area</w:t>
      </w:r>
      <w:r w:rsidR="00DC314F" w:rsidRPr="00DC314F">
        <w:rPr>
          <w:rFonts w:ascii="Cambria" w:hAnsi="Cambria"/>
          <w:sz w:val="23"/>
          <w:szCs w:val="23"/>
        </w:rPr>
        <w:drawing>
          <wp:inline distT="0" distB="0" distL="0" distR="0" wp14:anchorId="082BEE64" wp14:editId="4D423A7C">
            <wp:extent cx="5943600" cy="2770505"/>
            <wp:effectExtent l="0" t="0" r="0" b="0"/>
            <wp:docPr id="741936956" name="Picture 1" descr="A table with numbers and a few hundred and fif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936956" name="Picture 1" descr="A table with numbers and a few hundred and fifty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C2F" w:rsidRPr="00D02C2F">
        <w:rPr>
          <w:rFonts w:ascii="Cambria" w:hAnsi="Cambria"/>
          <w:sz w:val="23"/>
          <w:szCs w:val="23"/>
        </w:rPr>
        <w:drawing>
          <wp:inline distT="0" distB="0" distL="0" distR="0" wp14:anchorId="6BA75AC1" wp14:editId="5E8C09E7">
            <wp:extent cx="5943600" cy="2813685"/>
            <wp:effectExtent l="0" t="0" r="0" b="5715"/>
            <wp:docPr id="56008235" name="Picture 1" descr="A table with numbers and a few perc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08235" name="Picture 1" descr="A table with numbers and a few percen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3A50" w14:textId="0BBFA394" w:rsidR="00D02C2F" w:rsidRDefault="00D02C2F" w:rsidP="00D02C2F">
      <w:pPr>
        <w:ind w:left="720" w:hanging="670"/>
        <w:jc w:val="both"/>
      </w:pPr>
      <w:r>
        <w:rPr>
          <w:rFonts w:ascii="Cambria" w:hAnsi="Cambria"/>
          <w:b/>
          <w:bCs/>
        </w:rPr>
        <w:t xml:space="preserve">*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 xml:space="preserve">Based on 2023 </w:t>
      </w:r>
      <w:r>
        <w:rPr>
          <w:rFonts w:ascii="Cambria" w:hAnsi="Cambria"/>
          <w:b/>
          <w:bCs/>
        </w:rPr>
        <w:t>HOME Income</w:t>
      </w:r>
      <w:r>
        <w:rPr>
          <w:rFonts w:ascii="Cambria" w:hAnsi="Cambria"/>
          <w:b/>
          <w:bCs/>
        </w:rPr>
        <w:t xml:space="preserve"> Limits as published by HUD and made effective as of June 15, 2023 </w:t>
      </w:r>
    </w:p>
    <w:p w14:paraId="5408D81E" w14:textId="51F32880" w:rsidR="00D02C2F" w:rsidRDefault="00D02C2F" w:rsidP="00D02C2F">
      <w:pPr>
        <w:ind w:left="720" w:hanging="720"/>
        <w:jc w:val="both"/>
      </w:pPr>
      <w:r>
        <w:rPr>
          <w:rFonts w:ascii="Cambria" w:hAnsi="Cambria"/>
          <w:b/>
          <w:bCs/>
        </w:rPr>
        <w:t xml:space="preserve">+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Income limits calculated by ACDS staff based on NSP 120% AMI limits for Anne Arundel County as published by HUD and effective as of June 15, 2023</w:t>
      </w:r>
    </w:p>
    <w:p w14:paraId="57ED12C4" w14:textId="6C8A1DD3" w:rsidR="00D02C2F" w:rsidRDefault="00D02C2F" w:rsidP="00D02C2F">
      <w:pPr>
        <w:ind w:left="720" w:hanging="670"/>
        <w:jc w:val="both"/>
      </w:pPr>
      <w:r>
        <w:rPr>
          <w:rFonts w:ascii="Cambria" w:hAnsi="Cambria"/>
          <w:b/>
          <w:bCs/>
        </w:rPr>
        <w:t xml:space="preserve">#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 xml:space="preserve">NSP Income Limits for Anne Arundel County as published by HUD and effective as of June 15, 2023 </w:t>
      </w:r>
    </w:p>
    <w:p w14:paraId="1A141AF2" w14:textId="77777777" w:rsidR="00251E8C" w:rsidRPr="000A10F3" w:rsidRDefault="00251E8C" w:rsidP="000A10F3">
      <w:pPr>
        <w:jc w:val="center"/>
        <w:rPr>
          <w:sz w:val="28"/>
          <w:szCs w:val="28"/>
        </w:rPr>
      </w:pPr>
    </w:p>
    <w:sectPr w:rsidR="00251E8C" w:rsidRPr="000A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F3"/>
    <w:rsid w:val="000056C2"/>
    <w:rsid w:val="000A10F3"/>
    <w:rsid w:val="00251E8C"/>
    <w:rsid w:val="00D02C2F"/>
    <w:rsid w:val="00DC314F"/>
    <w:rsid w:val="00E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ECF"/>
  <w15:chartTrackingRefBased/>
  <w15:docId w15:val="{3364FB00-201D-4F7E-BA36-2DCC2C6C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0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0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0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0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0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0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0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0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0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0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0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0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0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0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0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0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0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10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0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0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10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10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10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10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0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0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10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Banks</dc:creator>
  <cp:keywords/>
  <dc:description/>
  <cp:lastModifiedBy>Lindsey Banks</cp:lastModifiedBy>
  <cp:revision>4</cp:revision>
  <dcterms:created xsi:type="dcterms:W3CDTF">2024-03-12T16:27:00Z</dcterms:created>
  <dcterms:modified xsi:type="dcterms:W3CDTF">2024-03-12T16:32:00Z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fdadb2-fdc0-421d-88ff-a3971130ad69_Enabled">
    <vt:lpwstr>true</vt:lpwstr>
  </property>
  <property fmtid="{D5CDD505-2E9C-101B-9397-08002B2CF9AE}" pid="3" name="MSIP_Label_34fdadb2-fdc0-421d-88ff-a3971130ad69_SetDate">
    <vt:lpwstr>2024-03-12T16:28:29Z</vt:lpwstr>
  </property>
  <property fmtid="{D5CDD505-2E9C-101B-9397-08002B2CF9AE}" pid="4" name="MSIP_Label_34fdadb2-fdc0-421d-88ff-a3971130ad69_Method">
    <vt:lpwstr>Standard</vt:lpwstr>
  </property>
  <property fmtid="{D5CDD505-2E9C-101B-9397-08002B2CF9AE}" pid="5" name="MSIP_Label_34fdadb2-fdc0-421d-88ff-a3971130ad69_Name">
    <vt:lpwstr>General</vt:lpwstr>
  </property>
  <property fmtid="{D5CDD505-2E9C-101B-9397-08002B2CF9AE}" pid="6" name="MSIP_Label_34fdadb2-fdc0-421d-88ff-a3971130ad69_SiteId">
    <vt:lpwstr>9922c7a1-5814-419d-8790-8e95e2c92b74</vt:lpwstr>
  </property>
  <property fmtid="{D5CDD505-2E9C-101B-9397-08002B2CF9AE}" pid="7" name="MSIP_Label_34fdadb2-fdc0-421d-88ff-a3971130ad69_ActionId">
    <vt:lpwstr>a0366e8e-cf41-4729-98a6-d1adc35bbf30</vt:lpwstr>
  </property>
  <property fmtid="{D5CDD505-2E9C-101B-9397-08002B2CF9AE}" pid="8" name="MSIP_Label_34fdadb2-fdc0-421d-88ff-a3971130ad69_ContentBits">
    <vt:lpwstr>0</vt:lpwstr>
  </property>
</Properties>
</file>