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152C5" w14:textId="77777777" w:rsidR="00A85D38" w:rsidRPr="007B78C6" w:rsidRDefault="00A85D38" w:rsidP="00A85D38">
      <w:pPr>
        <w:jc w:val="center"/>
        <w:rPr>
          <w:b/>
          <w:sz w:val="26"/>
          <w:szCs w:val="26"/>
        </w:rPr>
      </w:pPr>
      <w:r w:rsidRPr="007B78C6">
        <w:rPr>
          <w:b/>
          <w:sz w:val="26"/>
          <w:szCs w:val="26"/>
        </w:rPr>
        <w:t xml:space="preserve">Arundel Community Development Services, Inc. </w:t>
      </w:r>
    </w:p>
    <w:p w14:paraId="09113386" w14:textId="77777777" w:rsidR="00A85D38" w:rsidRPr="00121ECF" w:rsidRDefault="00A85D38" w:rsidP="00A85D38">
      <w:pPr>
        <w:jc w:val="center"/>
        <w:rPr>
          <w:sz w:val="20"/>
          <w:szCs w:val="20"/>
        </w:rPr>
      </w:pPr>
    </w:p>
    <w:p w14:paraId="73F25B24" w14:textId="77777777" w:rsidR="00A85D38" w:rsidRDefault="00A85D38" w:rsidP="00A85D38">
      <w:pPr>
        <w:jc w:val="center"/>
        <w:rPr>
          <w:b/>
          <w:sz w:val="28"/>
          <w:szCs w:val="28"/>
        </w:rPr>
      </w:pPr>
      <w:r w:rsidRPr="007B78C6">
        <w:rPr>
          <w:b/>
          <w:sz w:val="28"/>
          <w:szCs w:val="28"/>
        </w:rPr>
        <w:t xml:space="preserve">WORKFORCE HOUSING CONDITIONAL USE </w:t>
      </w:r>
      <w:r>
        <w:rPr>
          <w:b/>
          <w:sz w:val="28"/>
          <w:szCs w:val="28"/>
        </w:rPr>
        <w:t>REQUIREMENTS</w:t>
      </w:r>
    </w:p>
    <w:p w14:paraId="339F6E83" w14:textId="77777777" w:rsidR="00A85D38" w:rsidRPr="00121ECF" w:rsidRDefault="00A85D38" w:rsidP="00A85D38">
      <w:pPr>
        <w:jc w:val="center"/>
        <w:rPr>
          <w:i/>
          <w:sz w:val="20"/>
          <w:szCs w:val="20"/>
        </w:rPr>
      </w:pPr>
    </w:p>
    <w:p w14:paraId="065F69F1" w14:textId="77777777" w:rsidR="00A85D38" w:rsidRDefault="00A85D38" w:rsidP="00A85D38">
      <w:pPr>
        <w:jc w:val="center"/>
        <w:rPr>
          <w:b/>
          <w:sz w:val="28"/>
          <w:szCs w:val="28"/>
        </w:rPr>
      </w:pPr>
      <w:r w:rsidRPr="00121ECF">
        <w:rPr>
          <w:b/>
          <w:sz w:val="28"/>
          <w:szCs w:val="28"/>
        </w:rPr>
        <w:t>Bill 54-19</w:t>
      </w:r>
    </w:p>
    <w:p w14:paraId="66B96A45" w14:textId="0183B2CE" w:rsidR="003E5C95" w:rsidRPr="0077623E" w:rsidRDefault="003E5C95" w:rsidP="00A85D38">
      <w:pPr>
        <w:jc w:val="center"/>
        <w:rPr>
          <w:b/>
          <w:sz w:val="26"/>
          <w:szCs w:val="26"/>
        </w:rPr>
      </w:pPr>
      <w:r w:rsidRPr="0077623E">
        <w:rPr>
          <w:b/>
          <w:sz w:val="26"/>
          <w:szCs w:val="26"/>
        </w:rPr>
        <w:t>§ 18-10-166 of the Anne Arundel County Code (2005, as amended)</w:t>
      </w:r>
    </w:p>
    <w:p w14:paraId="156FE791" w14:textId="77777777" w:rsidR="00A85D38" w:rsidRPr="00121ECF" w:rsidRDefault="00A85D38" w:rsidP="00A85D38">
      <w:pPr>
        <w:jc w:val="center"/>
        <w:rPr>
          <w:i/>
          <w:sz w:val="20"/>
          <w:szCs w:val="20"/>
        </w:rPr>
      </w:pPr>
    </w:p>
    <w:p w14:paraId="0113752E" w14:textId="0C65E009" w:rsidR="00A85D38" w:rsidRPr="006E38DD" w:rsidRDefault="00941086" w:rsidP="00A85D38">
      <w:pPr>
        <w:jc w:val="center"/>
        <w:rPr>
          <w:i/>
          <w:sz w:val="24"/>
          <w:szCs w:val="24"/>
        </w:rPr>
      </w:pPr>
      <w:r>
        <w:rPr>
          <w:i/>
          <w:sz w:val="24"/>
          <w:szCs w:val="24"/>
        </w:rPr>
        <w:t>July 2023</w:t>
      </w:r>
    </w:p>
    <w:p w14:paraId="62830E78" w14:textId="77777777" w:rsidR="00A85D38" w:rsidRPr="0077623E" w:rsidRDefault="00A85D38" w:rsidP="00A85D38">
      <w:pPr>
        <w:pBdr>
          <w:bottom w:val="single" w:sz="4" w:space="1" w:color="auto"/>
        </w:pBdr>
        <w:rPr>
          <w:sz w:val="16"/>
          <w:szCs w:val="16"/>
        </w:rPr>
      </w:pPr>
    </w:p>
    <w:p w14:paraId="58CF0A9A" w14:textId="77777777" w:rsidR="00A85D38" w:rsidRPr="0077623E" w:rsidRDefault="00A85D38" w:rsidP="00A85D38">
      <w:pPr>
        <w:rPr>
          <w:sz w:val="16"/>
          <w:szCs w:val="16"/>
        </w:rPr>
      </w:pPr>
    </w:p>
    <w:p w14:paraId="19D6A8AA" w14:textId="77777777" w:rsidR="00A85D38" w:rsidRPr="0077623E" w:rsidRDefault="00A85D38" w:rsidP="00A85D38">
      <w:pPr>
        <w:rPr>
          <w:rFonts w:ascii="Corbel" w:hAnsi="Corbel"/>
          <w:b/>
          <w:sz w:val="28"/>
          <w:szCs w:val="28"/>
        </w:rPr>
      </w:pPr>
      <w:r w:rsidRPr="0077623E">
        <w:rPr>
          <w:rFonts w:ascii="Corbel" w:hAnsi="Corbel"/>
          <w:b/>
          <w:sz w:val="28"/>
          <w:szCs w:val="28"/>
        </w:rPr>
        <w:t>HOMEOWNERSHIP REQUIREMENTS</w:t>
      </w:r>
    </w:p>
    <w:p w14:paraId="5B1138C1" w14:textId="77777777" w:rsidR="00A85D38" w:rsidRPr="0077623E" w:rsidRDefault="00A85D38" w:rsidP="00A85D38">
      <w:pPr>
        <w:rPr>
          <w:sz w:val="16"/>
          <w:szCs w:val="16"/>
        </w:rPr>
      </w:pPr>
    </w:p>
    <w:p w14:paraId="3EBB2A64" w14:textId="77777777" w:rsidR="00A85D38" w:rsidRPr="0074417B" w:rsidRDefault="00A85D38" w:rsidP="00A85D38">
      <w:pPr>
        <w:rPr>
          <w:b/>
          <w:sz w:val="24"/>
          <w:szCs w:val="24"/>
        </w:rPr>
      </w:pPr>
      <w:r w:rsidRPr="0074417B">
        <w:rPr>
          <w:b/>
          <w:sz w:val="24"/>
          <w:szCs w:val="24"/>
        </w:rPr>
        <w:t>INCOME</w:t>
      </w:r>
    </w:p>
    <w:p w14:paraId="2D5615D9" w14:textId="77777777" w:rsidR="00A85D38" w:rsidRPr="0077623E" w:rsidRDefault="00A85D38" w:rsidP="00A85D38">
      <w:pPr>
        <w:rPr>
          <w:sz w:val="16"/>
          <w:szCs w:val="16"/>
        </w:rPr>
      </w:pPr>
    </w:p>
    <w:p w14:paraId="0804EF45" w14:textId="10A037C1" w:rsidR="0077623E" w:rsidRDefault="00A85D38" w:rsidP="00A662B0">
      <w:pPr>
        <w:spacing w:line="276" w:lineRule="auto"/>
      </w:pPr>
      <w:r>
        <w:t>At least 40 percent of the dwelling units must be made available to households with an income that does not exceed 100 percent of the area median income (AMI) adjusted for household size for the Baltimore Metropolitan Statistical Area.</w:t>
      </w:r>
      <w:r w:rsidR="00C8227E">
        <w:t xml:space="preserve"> </w:t>
      </w:r>
      <w:r>
        <w:t>The 100 percent AMI limits will be calculated by ACDS each year based upon the 80 percent AMI limits published annually by the U.S. Department of Housing and Urban Development (HUD).</w:t>
      </w:r>
      <w:r w:rsidR="00C8227E">
        <w:t xml:space="preserve"> </w:t>
      </w:r>
      <w:r>
        <w:t>The original purchasers and any purchasers during the control period of the Restricted Units (RU) must be a graduate of the Arundel Community Development Services, Inc. (ACDS) Homeownership Counseling Program.  In addition, the purchaser must have an income certification from ACDS to demonstrate their eligibility to purchase the unit. The household income will be determined in accordance with the method defined by and published by HUD in the “Technical Guide for Determining Income and Allowance for the HOME Program</w:t>
      </w:r>
      <w:r w:rsidR="0077623E">
        <w:t>,” third edition, January 2005.</w:t>
      </w:r>
    </w:p>
    <w:p w14:paraId="5A90DF4D" w14:textId="6482C679" w:rsidR="00A85D38" w:rsidRDefault="00000000" w:rsidP="00A662B0">
      <w:pPr>
        <w:spacing w:line="276" w:lineRule="auto"/>
        <w:rPr>
          <w:sz w:val="22"/>
          <w:szCs w:val="22"/>
        </w:rPr>
      </w:pPr>
      <w:hyperlink r:id="rId10" w:history="1">
        <w:r w:rsidR="00A85D38" w:rsidRPr="00031EF9">
          <w:rPr>
            <w:rStyle w:val="Hyperlink"/>
            <w:sz w:val="22"/>
            <w:szCs w:val="22"/>
          </w:rPr>
          <w:t>https://files.hudexchange.info/resources/documents/HOMEGuideForIncomeAndAllowances.pdf</w:t>
        </w:r>
      </w:hyperlink>
    </w:p>
    <w:p w14:paraId="02D37307" w14:textId="77777777" w:rsidR="00A85D38" w:rsidRPr="0074417B" w:rsidRDefault="00A85D38" w:rsidP="00A662B0">
      <w:pPr>
        <w:spacing w:line="276" w:lineRule="auto"/>
        <w:rPr>
          <w:sz w:val="24"/>
          <w:szCs w:val="24"/>
        </w:rPr>
      </w:pPr>
    </w:p>
    <w:p w14:paraId="04F09628" w14:textId="77777777" w:rsidR="00A85D38" w:rsidRPr="0074417B" w:rsidRDefault="00A85D38" w:rsidP="00A662B0">
      <w:pPr>
        <w:spacing w:line="276" w:lineRule="auto"/>
        <w:rPr>
          <w:b/>
          <w:sz w:val="24"/>
          <w:szCs w:val="24"/>
        </w:rPr>
      </w:pPr>
      <w:r>
        <w:rPr>
          <w:b/>
          <w:sz w:val="24"/>
          <w:szCs w:val="24"/>
        </w:rPr>
        <w:t xml:space="preserve">CONTROL </w:t>
      </w:r>
      <w:r w:rsidRPr="0074417B">
        <w:rPr>
          <w:b/>
          <w:sz w:val="24"/>
          <w:szCs w:val="24"/>
        </w:rPr>
        <w:t>PERIOD</w:t>
      </w:r>
    </w:p>
    <w:p w14:paraId="1CBD425F" w14:textId="77777777" w:rsidR="00A85D38" w:rsidRPr="002C03A7" w:rsidRDefault="00A85D38" w:rsidP="00A662B0">
      <w:pPr>
        <w:spacing w:line="276" w:lineRule="auto"/>
        <w:rPr>
          <w:sz w:val="16"/>
          <w:szCs w:val="16"/>
        </w:rPr>
      </w:pPr>
    </w:p>
    <w:p w14:paraId="23A7E5B6" w14:textId="13C54DB8" w:rsidR="00A85D38" w:rsidRDefault="00A85D38" w:rsidP="00A662B0">
      <w:pPr>
        <w:spacing w:line="276" w:lineRule="auto"/>
      </w:pPr>
      <w:r>
        <w:t xml:space="preserve">The RUs must remain affordable for 10 years from the original sale of the unit. This control period will be enforced through a covenant that will be placed on the property. This covenant will restrict sale of the unit to a household of 100 percent and below </w:t>
      </w:r>
      <w:r w:rsidR="00C8227E">
        <w:t>AMI and</w:t>
      </w:r>
      <w:r>
        <w:t xml:space="preserve"> will adjust the sale price for the unit based on an annual two percent fixed rate multiplier. This multiplier may be adjusted by ACDS during the control period based on economic conditions. If the unit is sold during this control period, it must meet minimum property standards, as defined by ACDS.  These minimum property standards will include such items as: (i) the residence must be free of water infiltration and the roof age must be within its life rating; (ii) the HVAC plumbing and electrical systems must be operational; (iii) appliances must be in good working conditions; and (iv) the interior paint and floor coverings must be in-like new condition. </w:t>
      </w:r>
    </w:p>
    <w:p w14:paraId="7B242BFA" w14:textId="77777777" w:rsidR="00A85D38" w:rsidRDefault="00A85D38" w:rsidP="00A662B0">
      <w:pPr>
        <w:spacing w:line="276" w:lineRule="auto"/>
        <w:rPr>
          <w:b/>
          <w:sz w:val="24"/>
          <w:szCs w:val="24"/>
        </w:rPr>
      </w:pPr>
    </w:p>
    <w:p w14:paraId="35B80880" w14:textId="77777777" w:rsidR="00A85D38" w:rsidRPr="002C03A7" w:rsidRDefault="00A85D38" w:rsidP="00A662B0">
      <w:pPr>
        <w:spacing w:line="276" w:lineRule="auto"/>
        <w:rPr>
          <w:b/>
          <w:sz w:val="24"/>
          <w:szCs w:val="24"/>
        </w:rPr>
      </w:pPr>
      <w:r>
        <w:rPr>
          <w:b/>
          <w:sz w:val="24"/>
          <w:szCs w:val="24"/>
        </w:rPr>
        <w:t>RESTRICTED UNITS</w:t>
      </w:r>
      <w:r w:rsidRPr="002C03A7">
        <w:rPr>
          <w:b/>
          <w:sz w:val="24"/>
          <w:szCs w:val="24"/>
        </w:rPr>
        <w:t xml:space="preserve"> </w:t>
      </w:r>
      <w:r>
        <w:rPr>
          <w:b/>
          <w:sz w:val="24"/>
          <w:szCs w:val="24"/>
        </w:rPr>
        <w:t xml:space="preserve">MAXIMUM SALES PRICE </w:t>
      </w:r>
    </w:p>
    <w:p w14:paraId="702ADD4E" w14:textId="77777777" w:rsidR="00A85D38" w:rsidRPr="002C03A7" w:rsidRDefault="00A85D38" w:rsidP="00A662B0">
      <w:pPr>
        <w:spacing w:line="276" w:lineRule="auto"/>
        <w:rPr>
          <w:sz w:val="16"/>
          <w:szCs w:val="16"/>
        </w:rPr>
      </w:pPr>
    </w:p>
    <w:p w14:paraId="3778EC20" w14:textId="7D7057F1" w:rsidR="00A85D38" w:rsidRDefault="00A85D38" w:rsidP="00A662B0">
      <w:pPr>
        <w:spacing w:line="276" w:lineRule="auto"/>
      </w:pPr>
      <w:r>
        <w:t xml:space="preserve">The house price limits for RUs will be set based on a house price affordable to a household earning 80 percent AMI as defined annually by HUD. The house price limits for RUs will be adjusted by the size of the unit based on the number of bedrooms. To calculate the house price, </w:t>
      </w:r>
      <w:r>
        <w:lastRenderedPageBreak/>
        <w:t xml:space="preserve">the number of bedrooms will be multiplied by 1.3, rounded to the nearest whole number </w:t>
      </w:r>
      <w:proofErr w:type="gramStart"/>
      <w:r>
        <w:t>in order to</w:t>
      </w:r>
      <w:proofErr w:type="gramEnd"/>
      <w:r>
        <w:t xml:space="preserve"> determine the household size for income calculation. </w:t>
      </w:r>
    </w:p>
    <w:p w14:paraId="53AB2EDB" w14:textId="77777777" w:rsidR="0077623E" w:rsidRDefault="0077623E" w:rsidP="00A662B0">
      <w:pPr>
        <w:spacing w:line="276" w:lineRule="auto"/>
        <w:ind w:firstLine="2520"/>
      </w:pPr>
    </w:p>
    <w:p w14:paraId="78C551CB" w14:textId="039DB165" w:rsidR="00A85D38" w:rsidRDefault="00A85D38" w:rsidP="00A662B0">
      <w:pPr>
        <w:spacing w:line="276" w:lineRule="auto"/>
        <w:ind w:firstLine="2520"/>
      </w:pPr>
      <w:r>
        <w:t xml:space="preserve">1-bedroom x 1.5 = </w:t>
      </w:r>
      <w:proofErr w:type="gramStart"/>
      <w:r>
        <w:t>2 person</w:t>
      </w:r>
      <w:proofErr w:type="gramEnd"/>
      <w:r>
        <w:t xml:space="preserve"> household</w:t>
      </w:r>
    </w:p>
    <w:p w14:paraId="44DFD700" w14:textId="77777777" w:rsidR="00A85D38" w:rsidRDefault="00A85D38" w:rsidP="00A662B0">
      <w:pPr>
        <w:spacing w:line="276" w:lineRule="auto"/>
        <w:ind w:firstLine="2520"/>
      </w:pPr>
      <w:r>
        <w:t xml:space="preserve">2-bedroom x 1.5 = </w:t>
      </w:r>
      <w:proofErr w:type="gramStart"/>
      <w:r>
        <w:t>3 person</w:t>
      </w:r>
      <w:proofErr w:type="gramEnd"/>
      <w:r>
        <w:t xml:space="preserve"> household</w:t>
      </w:r>
    </w:p>
    <w:p w14:paraId="5A47F763" w14:textId="77777777" w:rsidR="00A85D38" w:rsidRDefault="00A85D38" w:rsidP="00A662B0">
      <w:pPr>
        <w:spacing w:line="276" w:lineRule="auto"/>
        <w:ind w:firstLine="2520"/>
      </w:pPr>
      <w:r>
        <w:t xml:space="preserve">3-bedroom x 1.5 = </w:t>
      </w:r>
      <w:proofErr w:type="gramStart"/>
      <w:r>
        <w:t>4 person</w:t>
      </w:r>
      <w:proofErr w:type="gramEnd"/>
      <w:r>
        <w:t xml:space="preserve"> household</w:t>
      </w:r>
    </w:p>
    <w:p w14:paraId="15EA6962" w14:textId="77777777" w:rsidR="00A85D38" w:rsidRDefault="00A85D38" w:rsidP="00A662B0">
      <w:pPr>
        <w:spacing w:line="276" w:lineRule="auto"/>
        <w:ind w:firstLine="2520"/>
      </w:pPr>
      <w:r>
        <w:t xml:space="preserve">4-bedroom x 1.5 = </w:t>
      </w:r>
      <w:proofErr w:type="gramStart"/>
      <w:r>
        <w:t>5 person</w:t>
      </w:r>
      <w:proofErr w:type="gramEnd"/>
      <w:r>
        <w:t xml:space="preserve"> household</w:t>
      </w:r>
    </w:p>
    <w:p w14:paraId="5CD994F7" w14:textId="77777777" w:rsidR="00A85D38" w:rsidRDefault="00A85D38" w:rsidP="00A662B0">
      <w:pPr>
        <w:spacing w:line="276" w:lineRule="auto"/>
        <w:ind w:firstLine="2520"/>
      </w:pPr>
    </w:p>
    <w:p w14:paraId="2234A2B2" w14:textId="7841B659" w:rsidR="00A85D38" w:rsidRDefault="00A85D38" w:rsidP="00A662B0">
      <w:pPr>
        <w:spacing w:line="276" w:lineRule="auto"/>
      </w:pPr>
      <w:r>
        <w:t xml:space="preserve">The annual household income will then be divided by 12 </w:t>
      </w:r>
      <w:proofErr w:type="gramStart"/>
      <w:r>
        <w:t>in order to</w:t>
      </w:r>
      <w:proofErr w:type="gramEnd"/>
      <w:r>
        <w:t xml:space="preserve"> determine the monthly household income. This monthly income will then be multiplied by 30 percent (industry standard to determine affordability) to establish the maximum monthly housing expense.  Once this expense has been determined</w:t>
      </w:r>
      <w:r w:rsidRPr="00C246FF">
        <w:t xml:space="preserve">, 22 percent of the maximum monthly housing expense will be subtracted to account for property taxes, insurance, </w:t>
      </w:r>
      <w:r w:rsidR="00F45F46" w:rsidRPr="00C246FF">
        <w:t>homeowners’</w:t>
      </w:r>
      <w:r w:rsidRPr="00C246FF">
        <w:t xml:space="preserve"> association fees and private mortgage insurance. This percentage is based on the County’s current tax rate and average </w:t>
      </w:r>
      <w:r w:rsidR="00F45F46" w:rsidRPr="00C246FF">
        <w:t>homeowners’</w:t>
      </w:r>
      <w:r w:rsidRPr="00C246FF">
        <w:t xml:space="preserve"> association fees in the County. The 22 percent may be adjusted periodically by ACDS based on changing County economic conditions</w:t>
      </w:r>
      <w:r>
        <w:t xml:space="preserve">. These calculations establish the maximum household income that is available for monthly mortgage principal and interest payment.  </w:t>
      </w:r>
    </w:p>
    <w:p w14:paraId="58524DC5" w14:textId="77777777" w:rsidR="00A85D38" w:rsidRDefault="00A85D38" w:rsidP="00A662B0">
      <w:pPr>
        <w:spacing w:line="276" w:lineRule="auto"/>
      </w:pPr>
    </w:p>
    <w:p w14:paraId="687E66DD" w14:textId="150DA1DD" w:rsidR="00A85D38" w:rsidRPr="00C246FF" w:rsidRDefault="00A85D38" w:rsidP="00A662B0">
      <w:pPr>
        <w:spacing w:line="276" w:lineRule="auto"/>
      </w:pPr>
      <w:r w:rsidRPr="00C246FF">
        <w:t xml:space="preserve">The maximum mortgage amount </w:t>
      </w:r>
      <w:r>
        <w:t>for a RU</w:t>
      </w:r>
      <w:r w:rsidRPr="00C246FF">
        <w:t xml:space="preserve"> is then established using a standard mortgage formula, which assumes </w:t>
      </w:r>
      <w:r>
        <w:t xml:space="preserve">an </w:t>
      </w:r>
      <w:r w:rsidRPr="00C246FF">
        <w:t xml:space="preserve">average </w:t>
      </w:r>
      <w:r>
        <w:t xml:space="preserve">of (i) the current national </w:t>
      </w:r>
      <w:r w:rsidRPr="00C246FF">
        <w:t>mortgage rate</w:t>
      </w:r>
      <w:r>
        <w:t xml:space="preserve">; (ii) the lowest national interest rate; and (iii) the highest national interest rate </w:t>
      </w:r>
      <w:r w:rsidRPr="00C246FF">
        <w:t xml:space="preserve">for the previous 52 weeks for a </w:t>
      </w:r>
      <w:r w:rsidR="00F45F46" w:rsidRPr="00C246FF">
        <w:t>30-year</w:t>
      </w:r>
      <w:r w:rsidRPr="00C246FF">
        <w:t xml:space="preserve"> fixed rate loan (rounded up), as published in the </w:t>
      </w:r>
      <w:r w:rsidRPr="00C246FF">
        <w:rPr>
          <w:i/>
        </w:rPr>
        <w:t>Mortgage News Daily</w:t>
      </w:r>
      <w:r w:rsidRPr="00C246FF">
        <w:t>.</w:t>
      </w:r>
    </w:p>
    <w:p w14:paraId="543D267E" w14:textId="77777777" w:rsidR="00A85D38" w:rsidRPr="00C246FF" w:rsidRDefault="00A85D38" w:rsidP="00A662B0">
      <w:pPr>
        <w:spacing w:line="276" w:lineRule="auto"/>
      </w:pPr>
    </w:p>
    <w:p w14:paraId="48FA936E" w14:textId="47074ACA" w:rsidR="00A85D38" w:rsidRPr="00C246FF" w:rsidRDefault="00A85D38" w:rsidP="00A662B0">
      <w:pPr>
        <w:spacing w:line="276" w:lineRule="auto"/>
      </w:pPr>
      <w:r w:rsidRPr="00C246FF">
        <w:t>As a typical F</w:t>
      </w:r>
      <w:r>
        <w:t>HA mortgage loan requires a 3.5 percent</w:t>
      </w:r>
      <w:r w:rsidRPr="00C246FF">
        <w:t xml:space="preserve"> down payment</w:t>
      </w:r>
      <w:r>
        <w:t>, the RU maximum sales price will be</w:t>
      </w:r>
      <w:r w:rsidRPr="00C246FF">
        <w:t xml:space="preserve"> calculated by dividing the maximum mortgage amount by .965.</w:t>
      </w:r>
      <w:r>
        <w:t xml:space="preserve"> This number is then rounded down to establish the maximum sales prices for a RU.</w:t>
      </w:r>
    </w:p>
    <w:p w14:paraId="4FF6ACC4" w14:textId="77777777" w:rsidR="00A85D38" w:rsidRPr="00C246FF" w:rsidRDefault="00A85D38" w:rsidP="00A662B0">
      <w:pPr>
        <w:spacing w:line="276" w:lineRule="auto"/>
      </w:pPr>
      <w:r w:rsidRPr="00C246FF">
        <w:t xml:space="preserve">  </w:t>
      </w:r>
    </w:p>
    <w:p w14:paraId="454EB1D2" w14:textId="7DCD075D" w:rsidR="00A85D38" w:rsidRDefault="00A85D38" w:rsidP="00A662B0">
      <w:pPr>
        <w:spacing w:line="276" w:lineRule="auto"/>
      </w:pPr>
      <w:r>
        <w:t>This maximum sales price will be adjusted annually by ACDS on or about June 1</w:t>
      </w:r>
      <w:r w:rsidRPr="009D42AB">
        <w:rPr>
          <w:vertAlign w:val="superscript"/>
        </w:rPr>
        <w:t>st</w:t>
      </w:r>
      <w:r>
        <w:t xml:space="preserve">. The maximum sales price in effect at that time will be applied to the WHU at the time of sale.  </w:t>
      </w:r>
    </w:p>
    <w:p w14:paraId="77089E3A" w14:textId="77777777" w:rsidR="00A85D38" w:rsidRPr="002C03A7" w:rsidRDefault="00A85D38" w:rsidP="00A662B0">
      <w:pPr>
        <w:spacing w:line="276" w:lineRule="auto"/>
        <w:rPr>
          <w:b/>
          <w:sz w:val="24"/>
          <w:szCs w:val="24"/>
        </w:rPr>
      </w:pPr>
    </w:p>
    <w:p w14:paraId="20AB0837" w14:textId="77777777" w:rsidR="00A85D38" w:rsidRDefault="00A85D38" w:rsidP="00A662B0">
      <w:pPr>
        <w:spacing w:line="276" w:lineRule="auto"/>
        <w:rPr>
          <w:b/>
          <w:sz w:val="24"/>
          <w:szCs w:val="24"/>
        </w:rPr>
      </w:pPr>
      <w:r w:rsidRPr="009D42AB">
        <w:rPr>
          <w:b/>
          <w:sz w:val="24"/>
          <w:szCs w:val="24"/>
        </w:rPr>
        <w:t>DESIGN REQUIREMENTS</w:t>
      </w:r>
    </w:p>
    <w:p w14:paraId="5C66E43F" w14:textId="77777777" w:rsidR="00A85D38" w:rsidRPr="00870EA8" w:rsidRDefault="00A85D38" w:rsidP="00A662B0">
      <w:pPr>
        <w:spacing w:line="276" w:lineRule="auto"/>
        <w:rPr>
          <w:b/>
          <w:sz w:val="16"/>
          <w:szCs w:val="16"/>
        </w:rPr>
      </w:pPr>
    </w:p>
    <w:p w14:paraId="724F1C8D" w14:textId="2ACF56A4" w:rsidR="00A85D38" w:rsidRDefault="00A85D38" w:rsidP="00A662B0">
      <w:pPr>
        <w:pStyle w:val="ListParagraph"/>
        <w:numPr>
          <w:ilvl w:val="0"/>
          <w:numId w:val="1"/>
        </w:numPr>
        <w:spacing w:line="276" w:lineRule="auto"/>
        <w:ind w:left="450" w:hanging="450"/>
      </w:pPr>
      <w:r>
        <w:t>Duplex, semi-detached, single family, detached, and townhouse RUs must have two or more bedrooms</w:t>
      </w:r>
      <w:r w:rsidR="005433AC">
        <w:t>.</w:t>
      </w:r>
    </w:p>
    <w:p w14:paraId="60073AFE" w14:textId="77777777" w:rsidR="00A85D38" w:rsidRPr="00121ECF" w:rsidRDefault="00A85D38" w:rsidP="00A662B0">
      <w:pPr>
        <w:spacing w:line="276" w:lineRule="auto"/>
        <w:ind w:left="450" w:hanging="450"/>
        <w:rPr>
          <w:sz w:val="20"/>
          <w:szCs w:val="20"/>
        </w:rPr>
      </w:pPr>
    </w:p>
    <w:p w14:paraId="106F0029" w14:textId="62AD3B78" w:rsidR="00A85D38" w:rsidRDefault="00A85D38" w:rsidP="00A662B0">
      <w:pPr>
        <w:pStyle w:val="ListParagraph"/>
        <w:numPr>
          <w:ilvl w:val="0"/>
          <w:numId w:val="1"/>
        </w:numPr>
        <w:spacing w:line="276" w:lineRule="auto"/>
        <w:ind w:left="450" w:hanging="450"/>
      </w:pPr>
      <w:r>
        <w:t xml:space="preserve">The number of </w:t>
      </w:r>
      <w:r w:rsidR="005930B3">
        <w:t>one-bedroom</w:t>
      </w:r>
      <w:r>
        <w:t xml:space="preserve"> RUs in a multi-family dwelling unit may not exceed the ratio that market rate one-bedroom units respectively have to the total number of market rate units in the development</w:t>
      </w:r>
      <w:r w:rsidR="005433AC">
        <w:t>.</w:t>
      </w:r>
    </w:p>
    <w:p w14:paraId="0D65EF3A" w14:textId="77777777" w:rsidR="00A85D38" w:rsidRPr="00121ECF" w:rsidRDefault="00A85D38" w:rsidP="00A662B0">
      <w:pPr>
        <w:pStyle w:val="ListParagraph"/>
        <w:spacing w:line="276" w:lineRule="auto"/>
        <w:ind w:left="450" w:hanging="450"/>
        <w:rPr>
          <w:sz w:val="20"/>
          <w:szCs w:val="20"/>
        </w:rPr>
      </w:pPr>
    </w:p>
    <w:p w14:paraId="1A973EBE" w14:textId="5BF1B4AD" w:rsidR="00A85D38" w:rsidRDefault="00A85D38" w:rsidP="00A662B0">
      <w:pPr>
        <w:pStyle w:val="ListParagraph"/>
        <w:numPr>
          <w:ilvl w:val="0"/>
          <w:numId w:val="1"/>
        </w:numPr>
        <w:spacing w:line="276" w:lineRule="auto"/>
        <w:ind w:left="450" w:hanging="450"/>
      </w:pPr>
      <w:r>
        <w:t xml:space="preserve">To the extent feasible, the RUs must evenly </w:t>
      </w:r>
      <w:r w:rsidR="0077623E">
        <w:t>distribute</w:t>
      </w:r>
      <w:r>
        <w:t xml:space="preserve"> throughout the development</w:t>
      </w:r>
      <w:r w:rsidR="005433AC">
        <w:t>.</w:t>
      </w:r>
    </w:p>
    <w:p w14:paraId="626D3B4C" w14:textId="219493AA" w:rsidR="00A85D38" w:rsidRDefault="00A85D38" w:rsidP="00A662B0">
      <w:pPr>
        <w:pStyle w:val="ListParagraph"/>
        <w:numPr>
          <w:ilvl w:val="0"/>
          <w:numId w:val="1"/>
        </w:numPr>
        <w:spacing w:line="276" w:lineRule="auto"/>
        <w:ind w:left="450" w:hanging="450"/>
      </w:pPr>
      <w:r>
        <w:lastRenderedPageBreak/>
        <w:t xml:space="preserve">The RUs must be architecturally similar in size </w:t>
      </w:r>
      <w:r w:rsidR="005930B3">
        <w:t>to</w:t>
      </w:r>
      <w:r>
        <w:t xml:space="preserve"> the market rate units in the development</w:t>
      </w:r>
      <w:r w:rsidR="005433AC">
        <w:t>.</w:t>
      </w:r>
    </w:p>
    <w:p w14:paraId="1388C4CE" w14:textId="77777777" w:rsidR="00A85D38" w:rsidRPr="00121ECF" w:rsidRDefault="00A85D38" w:rsidP="00A662B0">
      <w:pPr>
        <w:pStyle w:val="ListParagraph"/>
        <w:spacing w:line="276" w:lineRule="auto"/>
        <w:rPr>
          <w:sz w:val="20"/>
          <w:szCs w:val="20"/>
        </w:rPr>
      </w:pPr>
    </w:p>
    <w:p w14:paraId="00F2BF6C" w14:textId="45AD39F0" w:rsidR="00A85D38" w:rsidRDefault="00A85D38" w:rsidP="00A662B0">
      <w:pPr>
        <w:pStyle w:val="ListParagraph"/>
        <w:numPr>
          <w:ilvl w:val="0"/>
          <w:numId w:val="1"/>
        </w:numPr>
        <w:spacing w:line="276" w:lineRule="auto"/>
        <w:ind w:left="450" w:hanging="450"/>
      </w:pPr>
      <w:r>
        <w:t>The exterior construction material, finishes</w:t>
      </w:r>
      <w:r w:rsidR="005930B3">
        <w:t xml:space="preserve">, </w:t>
      </w:r>
      <w:r>
        <w:t>and landscaping must be comparable quality and generally indistinguishable is exterior appearance with the base as the market rate units</w:t>
      </w:r>
      <w:r w:rsidR="005433AC">
        <w:t>.</w:t>
      </w:r>
    </w:p>
    <w:p w14:paraId="7BA648A1" w14:textId="77777777" w:rsidR="00A85D38" w:rsidRPr="00121ECF" w:rsidRDefault="00A85D38" w:rsidP="00A662B0">
      <w:pPr>
        <w:pStyle w:val="ListParagraph"/>
        <w:spacing w:line="276" w:lineRule="auto"/>
        <w:ind w:left="450" w:hanging="450"/>
        <w:rPr>
          <w:sz w:val="20"/>
          <w:szCs w:val="20"/>
        </w:rPr>
      </w:pPr>
    </w:p>
    <w:p w14:paraId="353D43BF" w14:textId="17C6BA01" w:rsidR="00A85D38" w:rsidRDefault="00A85D38" w:rsidP="00A662B0">
      <w:pPr>
        <w:pStyle w:val="ListParagraph"/>
        <w:numPr>
          <w:ilvl w:val="0"/>
          <w:numId w:val="1"/>
        </w:numPr>
        <w:spacing w:line="276" w:lineRule="auto"/>
        <w:ind w:left="450" w:hanging="450"/>
      </w:pPr>
      <w:r>
        <w:t xml:space="preserve">Although the RUs can have reduced interior finishes and features than the market rate units, the RUs must be good quality and functionally equivalent to the market rate units.  The reduction to the interior amenities </w:t>
      </w:r>
      <w:r w:rsidR="005930B3">
        <w:t>may</w:t>
      </w:r>
      <w:r>
        <w:t xml:space="preserve"> not include a reduction in improvements related to energy efficiency, </w:t>
      </w:r>
      <w:proofErr w:type="gramStart"/>
      <w:r>
        <w:t>heating</w:t>
      </w:r>
      <w:proofErr w:type="gramEnd"/>
      <w:r>
        <w:t xml:space="preserve"> and cooling equipment, and plumbing and electrical systems. </w:t>
      </w:r>
    </w:p>
    <w:p w14:paraId="0A5CD420" w14:textId="77777777" w:rsidR="00A85D38" w:rsidRPr="000F0123" w:rsidRDefault="00A85D38" w:rsidP="00A662B0">
      <w:pPr>
        <w:spacing w:line="276" w:lineRule="auto"/>
        <w:rPr>
          <w:b/>
          <w:sz w:val="24"/>
          <w:szCs w:val="24"/>
        </w:rPr>
      </w:pPr>
    </w:p>
    <w:p w14:paraId="26428C05" w14:textId="77777777" w:rsidR="00A85D38" w:rsidRPr="000F0123" w:rsidRDefault="00A85D38" w:rsidP="00A662B0">
      <w:pPr>
        <w:spacing w:line="276" w:lineRule="auto"/>
        <w:rPr>
          <w:b/>
          <w:sz w:val="24"/>
          <w:szCs w:val="24"/>
        </w:rPr>
      </w:pPr>
      <w:r w:rsidRPr="000F0123">
        <w:rPr>
          <w:b/>
          <w:sz w:val="24"/>
          <w:szCs w:val="24"/>
        </w:rPr>
        <w:t>P</w:t>
      </w:r>
      <w:r>
        <w:rPr>
          <w:b/>
          <w:sz w:val="24"/>
          <w:szCs w:val="24"/>
        </w:rPr>
        <w:t>ROCESS</w:t>
      </w:r>
    </w:p>
    <w:p w14:paraId="62025EBA" w14:textId="77777777" w:rsidR="00A85D38" w:rsidRPr="000F0123" w:rsidRDefault="00A85D38" w:rsidP="00A662B0">
      <w:pPr>
        <w:spacing w:line="276" w:lineRule="auto"/>
        <w:rPr>
          <w:sz w:val="16"/>
          <w:szCs w:val="16"/>
        </w:rPr>
      </w:pPr>
    </w:p>
    <w:p w14:paraId="0FF8E748" w14:textId="141853BB" w:rsidR="00A85D38" w:rsidRDefault="00A85D38" w:rsidP="00A662B0">
      <w:pPr>
        <w:spacing w:line="276" w:lineRule="auto"/>
      </w:pPr>
      <w:r>
        <w:t xml:space="preserve">Prior to submitting a site development or a subdivision application with the County, the applicant must meet with ACDS to review the requirements for RUs and the process for implementing these requirements. The developer will be required to enter into a Development Agreement with the County prior to site development or final plat approval. This Agreement will define the number of RUs, construction schedule, the type and location of the RUs and any other requirements for </w:t>
      </w:r>
      <w:proofErr w:type="spellStart"/>
      <w:r>
        <w:t>RUs.</w:t>
      </w:r>
      <w:proofErr w:type="spellEnd"/>
      <w:r>
        <w:t xml:space="preserve"> The RUs also must be noted on the record subdivision </w:t>
      </w:r>
      <w:proofErr w:type="gramStart"/>
      <w:r>
        <w:t>plat</w:t>
      </w:r>
      <w:proofErr w:type="gramEnd"/>
      <w:r>
        <w:t xml:space="preserve"> or site development plan, whichever is </w:t>
      </w:r>
      <w:proofErr w:type="gramStart"/>
      <w:r>
        <w:t>applicable</w:t>
      </w:r>
      <w:proofErr w:type="gramEnd"/>
      <w:r>
        <w:t xml:space="preserve"> and a covenant recorded in the County Land Records.</w:t>
      </w:r>
    </w:p>
    <w:p w14:paraId="5ACD633C" w14:textId="77777777" w:rsidR="00A85D38" w:rsidRPr="0077623E" w:rsidRDefault="00A85D38" w:rsidP="00A662B0">
      <w:pPr>
        <w:spacing w:line="276" w:lineRule="auto"/>
        <w:rPr>
          <w:sz w:val="26"/>
          <w:szCs w:val="26"/>
        </w:rPr>
      </w:pPr>
    </w:p>
    <w:p w14:paraId="1464E9D6" w14:textId="77777777" w:rsidR="00A85D38" w:rsidRPr="0077623E" w:rsidRDefault="00A85D38" w:rsidP="00A662B0">
      <w:pPr>
        <w:spacing w:line="276" w:lineRule="auto"/>
        <w:rPr>
          <w:rFonts w:ascii="Corbel" w:hAnsi="Corbel"/>
          <w:b/>
          <w:sz w:val="28"/>
          <w:szCs w:val="28"/>
        </w:rPr>
      </w:pPr>
      <w:r w:rsidRPr="0077623E">
        <w:rPr>
          <w:rFonts w:ascii="Corbel" w:hAnsi="Corbel"/>
          <w:b/>
          <w:sz w:val="28"/>
          <w:szCs w:val="28"/>
        </w:rPr>
        <w:t>RENTAL REQUIREMENTS</w:t>
      </w:r>
    </w:p>
    <w:p w14:paraId="7E6B85F0" w14:textId="77777777" w:rsidR="00A85D38" w:rsidRPr="00C246FF" w:rsidRDefault="00A85D38" w:rsidP="00A662B0">
      <w:pPr>
        <w:spacing w:line="276" w:lineRule="auto"/>
      </w:pPr>
    </w:p>
    <w:p w14:paraId="7DFE4829" w14:textId="77777777" w:rsidR="00A85D38" w:rsidRPr="0074417B" w:rsidRDefault="00A85D38" w:rsidP="00A662B0">
      <w:pPr>
        <w:spacing w:line="276" w:lineRule="auto"/>
        <w:rPr>
          <w:b/>
          <w:sz w:val="24"/>
          <w:szCs w:val="24"/>
        </w:rPr>
      </w:pPr>
      <w:r w:rsidRPr="0074417B">
        <w:rPr>
          <w:b/>
          <w:sz w:val="24"/>
          <w:szCs w:val="24"/>
        </w:rPr>
        <w:t>INCOME</w:t>
      </w:r>
    </w:p>
    <w:p w14:paraId="1F235664" w14:textId="77777777" w:rsidR="00A85D38" w:rsidRPr="00870EA8" w:rsidRDefault="00A85D38" w:rsidP="00A662B0">
      <w:pPr>
        <w:spacing w:line="276" w:lineRule="auto"/>
        <w:rPr>
          <w:sz w:val="16"/>
          <w:szCs w:val="16"/>
        </w:rPr>
      </w:pPr>
    </w:p>
    <w:p w14:paraId="29B5F9CB" w14:textId="0450EEB9" w:rsidR="00A85D38" w:rsidRDefault="00A85D38" w:rsidP="00A662B0">
      <w:pPr>
        <w:spacing w:line="276" w:lineRule="auto"/>
      </w:pPr>
      <w:r>
        <w:t xml:space="preserve">At least 60 percent of the rental units must be made available to households with an income that does not exceed 60 percent of the AMI </w:t>
      </w:r>
      <w:r w:rsidR="005930B3">
        <w:t>adjusted</w:t>
      </w:r>
      <w:r>
        <w:t xml:space="preserve"> for household size for the Baltimore Metropolitan Statistical Area. The eligible tenant must have an income certification from ACDS to demonstrate their income eligibility to rent the unit</w:t>
      </w:r>
      <w:r w:rsidR="00141F9F">
        <w:t xml:space="preserve">, unless the development is financed through the </w:t>
      </w:r>
      <w:proofErr w:type="gramStart"/>
      <w:r w:rsidR="00141F9F">
        <w:t>Low Income</w:t>
      </w:r>
      <w:proofErr w:type="gramEnd"/>
      <w:r w:rsidR="00141F9F">
        <w:t xml:space="preserve"> Housing Tax Credit (LIHTC) program and has compliance and monitoring requirements in place that ensure income limits will be met for the entire Control Period, as defined </w:t>
      </w:r>
      <w:r w:rsidR="005930B3">
        <w:t>below.</w:t>
      </w:r>
      <w:r>
        <w:t xml:space="preserve"> The household income will be determined in accordance with the method defined by and published by HUD in the “Technical Guide for Determining Income and Allowance for the HOME Program,” third edition, January 2005.</w:t>
      </w:r>
    </w:p>
    <w:p w14:paraId="5EBEBE75" w14:textId="77777777" w:rsidR="005433AC" w:rsidRDefault="005433AC" w:rsidP="00A662B0">
      <w:pPr>
        <w:spacing w:line="276" w:lineRule="auto"/>
      </w:pPr>
    </w:p>
    <w:p w14:paraId="702044FB" w14:textId="77777777" w:rsidR="005433AC" w:rsidRDefault="005433AC" w:rsidP="00A662B0">
      <w:pPr>
        <w:spacing w:line="276" w:lineRule="auto"/>
      </w:pPr>
    </w:p>
    <w:p w14:paraId="18084CB2" w14:textId="77777777" w:rsidR="005433AC" w:rsidRDefault="005433AC" w:rsidP="00A662B0">
      <w:pPr>
        <w:spacing w:line="276" w:lineRule="auto"/>
      </w:pPr>
    </w:p>
    <w:p w14:paraId="453CB4D1" w14:textId="77777777" w:rsidR="00A85D38" w:rsidRPr="00207CC7" w:rsidRDefault="00A85D38" w:rsidP="00A662B0">
      <w:pPr>
        <w:spacing w:line="276" w:lineRule="auto"/>
        <w:rPr>
          <w:sz w:val="24"/>
          <w:szCs w:val="24"/>
        </w:rPr>
      </w:pPr>
    </w:p>
    <w:p w14:paraId="44F1881F" w14:textId="77777777" w:rsidR="00A85D38" w:rsidRDefault="00A85D38" w:rsidP="00A662B0">
      <w:pPr>
        <w:spacing w:line="276" w:lineRule="auto"/>
        <w:rPr>
          <w:b/>
          <w:sz w:val="24"/>
          <w:szCs w:val="24"/>
        </w:rPr>
      </w:pPr>
      <w:r>
        <w:rPr>
          <w:b/>
          <w:sz w:val="24"/>
          <w:szCs w:val="24"/>
        </w:rPr>
        <w:lastRenderedPageBreak/>
        <w:t>RENTAL LIMITS</w:t>
      </w:r>
    </w:p>
    <w:p w14:paraId="00FFF112" w14:textId="77777777" w:rsidR="00A85D38" w:rsidRPr="00207CC7" w:rsidRDefault="00A85D38" w:rsidP="00A662B0">
      <w:pPr>
        <w:spacing w:line="276" w:lineRule="auto"/>
        <w:rPr>
          <w:b/>
          <w:sz w:val="16"/>
          <w:szCs w:val="16"/>
        </w:rPr>
      </w:pPr>
    </w:p>
    <w:p w14:paraId="75CFF0EA" w14:textId="382FDD48" w:rsidR="00A85D38" w:rsidRPr="00207CC7" w:rsidRDefault="00A85D38" w:rsidP="00A662B0">
      <w:pPr>
        <w:spacing w:line="276" w:lineRule="auto"/>
      </w:pPr>
      <w:r>
        <w:t>The rent limit for R</w:t>
      </w:r>
      <w:r w:rsidRPr="00207CC7">
        <w:t xml:space="preserve">Us will be equal to the rents published on an annual basis for the </w:t>
      </w:r>
      <w:proofErr w:type="gramStart"/>
      <w:r w:rsidRPr="00207CC7">
        <w:t>Low Income</w:t>
      </w:r>
      <w:proofErr w:type="gramEnd"/>
      <w:r w:rsidRPr="00207CC7">
        <w:t xml:space="preserve"> Housing Tax Credit Program (LIHTC) by the State of Maryland Department of Housing and Community Development for households with income at </w:t>
      </w:r>
      <w:r w:rsidR="00141F9F">
        <w:t>6</w:t>
      </w:r>
      <w:r w:rsidRPr="00207CC7">
        <w:t xml:space="preserve">0 percent AMI by bedroom size.  These rent rates will be published on an annual basis. </w:t>
      </w:r>
    </w:p>
    <w:p w14:paraId="455A35BF" w14:textId="77777777" w:rsidR="00A85D38" w:rsidRDefault="00A85D38" w:rsidP="00A662B0">
      <w:pPr>
        <w:spacing w:line="276" w:lineRule="auto"/>
        <w:rPr>
          <w:b/>
          <w:sz w:val="24"/>
          <w:szCs w:val="24"/>
        </w:rPr>
      </w:pPr>
    </w:p>
    <w:p w14:paraId="30CCC59E" w14:textId="77777777" w:rsidR="00A85D38" w:rsidRPr="00207CC7" w:rsidRDefault="00A85D38" w:rsidP="00A662B0">
      <w:pPr>
        <w:spacing w:line="276" w:lineRule="auto"/>
        <w:rPr>
          <w:b/>
          <w:sz w:val="24"/>
          <w:szCs w:val="24"/>
        </w:rPr>
      </w:pPr>
      <w:r w:rsidRPr="00207CC7">
        <w:rPr>
          <w:b/>
          <w:sz w:val="24"/>
          <w:szCs w:val="24"/>
        </w:rPr>
        <w:t>CONTROL PERIOD</w:t>
      </w:r>
    </w:p>
    <w:p w14:paraId="3AC60116" w14:textId="77777777" w:rsidR="00A85D38" w:rsidRPr="00870EA8" w:rsidRDefault="00A85D38" w:rsidP="00A662B0">
      <w:pPr>
        <w:spacing w:line="276" w:lineRule="auto"/>
        <w:rPr>
          <w:sz w:val="16"/>
          <w:szCs w:val="16"/>
        </w:rPr>
      </w:pPr>
    </w:p>
    <w:p w14:paraId="592475CB" w14:textId="738E7C60" w:rsidR="00A85D38" w:rsidRDefault="00A85D38" w:rsidP="00A662B0">
      <w:pPr>
        <w:spacing w:line="276" w:lineRule="auto"/>
      </w:pPr>
      <w:r>
        <w:t xml:space="preserve">A RU rental unit must remain affordable for 30 years from the date of occupancy. This control period will be enforced through a covenant that will be placed on the property.  Compliance with the income and rent requirements will be monitored annually by ACDS. </w:t>
      </w:r>
      <w:r w:rsidR="00141F9F">
        <w:t>If the development is already subject to income compliance monitoring due to project financing, ACDS may waive its requirement to conduct separate monitoring for Workforce Housing Units.</w:t>
      </w:r>
      <w:r>
        <w:t xml:space="preserve"> If someone who is in a RU rental unit household income increases above 60 percent AMI, the tenant may continue to reside in the unit and the owner may raise the rent of that unit above the rental limits for the </w:t>
      </w:r>
      <w:proofErr w:type="spellStart"/>
      <w:r>
        <w:t>RUs.</w:t>
      </w:r>
      <w:proofErr w:type="spellEnd"/>
      <w:r>
        <w:t xml:space="preserve"> However, the next available unit must be rented to a household with an income of 60 percent or below AMI.</w:t>
      </w:r>
    </w:p>
    <w:p w14:paraId="062E0100" w14:textId="77777777" w:rsidR="005433AC" w:rsidRDefault="005433AC" w:rsidP="00A662B0">
      <w:pPr>
        <w:spacing w:line="276" w:lineRule="auto"/>
      </w:pPr>
    </w:p>
    <w:p w14:paraId="1A258E24" w14:textId="77777777" w:rsidR="00A85D38" w:rsidRDefault="00A85D38" w:rsidP="00A662B0">
      <w:pPr>
        <w:spacing w:line="276" w:lineRule="auto"/>
        <w:rPr>
          <w:b/>
          <w:sz w:val="24"/>
          <w:szCs w:val="24"/>
        </w:rPr>
      </w:pPr>
      <w:r w:rsidRPr="009D42AB">
        <w:rPr>
          <w:b/>
          <w:sz w:val="24"/>
          <w:szCs w:val="24"/>
        </w:rPr>
        <w:t>DESIGN REQUIREMENTS</w:t>
      </w:r>
    </w:p>
    <w:p w14:paraId="2DCAAE7B" w14:textId="77777777" w:rsidR="00A85D38" w:rsidRPr="00870EA8" w:rsidRDefault="00A85D38" w:rsidP="00A662B0">
      <w:pPr>
        <w:spacing w:line="276" w:lineRule="auto"/>
        <w:rPr>
          <w:b/>
          <w:sz w:val="16"/>
          <w:szCs w:val="16"/>
        </w:rPr>
      </w:pPr>
    </w:p>
    <w:p w14:paraId="53946F63" w14:textId="77777777" w:rsidR="00A85D38" w:rsidRDefault="00A85D38" w:rsidP="00A662B0">
      <w:pPr>
        <w:pStyle w:val="ListParagraph"/>
        <w:numPr>
          <w:ilvl w:val="0"/>
          <w:numId w:val="2"/>
        </w:numPr>
        <w:spacing w:line="276" w:lineRule="auto"/>
        <w:ind w:left="450" w:hanging="450"/>
      </w:pPr>
      <w:r>
        <w:t>Duplex, semi-detached, single family, detached, and townhouse RUs must have two or more bedrooms.</w:t>
      </w:r>
    </w:p>
    <w:p w14:paraId="0082067B" w14:textId="77777777" w:rsidR="00A85D38" w:rsidRPr="00121ECF" w:rsidRDefault="00A85D38" w:rsidP="00A662B0">
      <w:pPr>
        <w:spacing w:line="276" w:lineRule="auto"/>
        <w:ind w:left="450" w:hanging="450"/>
        <w:rPr>
          <w:sz w:val="20"/>
          <w:szCs w:val="20"/>
        </w:rPr>
      </w:pPr>
    </w:p>
    <w:p w14:paraId="173F442C" w14:textId="75B2BD7D" w:rsidR="00A85D38" w:rsidRDefault="00A85D38" w:rsidP="00A662B0">
      <w:pPr>
        <w:pStyle w:val="ListParagraph"/>
        <w:numPr>
          <w:ilvl w:val="0"/>
          <w:numId w:val="2"/>
        </w:numPr>
        <w:spacing w:line="276" w:lineRule="auto"/>
        <w:ind w:left="450" w:hanging="450"/>
      </w:pPr>
      <w:r>
        <w:t xml:space="preserve">The number of </w:t>
      </w:r>
      <w:r w:rsidR="005930B3">
        <w:t>one-bedroom</w:t>
      </w:r>
      <w:r>
        <w:t xml:space="preserve"> RUs in a multi-family dwelling unit may not exceed the ratio that market rate one-bedroom units respectively have to the total number of market rate units in the development.</w:t>
      </w:r>
    </w:p>
    <w:p w14:paraId="71271B42" w14:textId="77777777" w:rsidR="00A85D38" w:rsidRPr="00121ECF" w:rsidRDefault="00A85D38" w:rsidP="00A662B0">
      <w:pPr>
        <w:pStyle w:val="ListParagraph"/>
        <w:spacing w:line="276" w:lineRule="auto"/>
        <w:ind w:left="450" w:hanging="450"/>
        <w:rPr>
          <w:sz w:val="20"/>
          <w:szCs w:val="20"/>
        </w:rPr>
      </w:pPr>
    </w:p>
    <w:p w14:paraId="044D9F11" w14:textId="5E933C94" w:rsidR="00A85D38" w:rsidRDefault="00A85D38" w:rsidP="00A662B0">
      <w:pPr>
        <w:pStyle w:val="ListParagraph"/>
        <w:numPr>
          <w:ilvl w:val="0"/>
          <w:numId w:val="2"/>
        </w:numPr>
        <w:spacing w:line="276" w:lineRule="auto"/>
        <w:ind w:left="450" w:hanging="450"/>
      </w:pPr>
      <w:r>
        <w:t xml:space="preserve">To the extent feasible, the RUs must evenly </w:t>
      </w:r>
      <w:r w:rsidR="0077623E">
        <w:t>distribute</w:t>
      </w:r>
      <w:r>
        <w:t xml:space="preserve"> throughout the development.</w:t>
      </w:r>
    </w:p>
    <w:p w14:paraId="30DBF038" w14:textId="77777777" w:rsidR="00A85D38" w:rsidRPr="00121ECF" w:rsidRDefault="00A85D38" w:rsidP="00A662B0">
      <w:pPr>
        <w:pStyle w:val="ListParagraph"/>
        <w:spacing w:line="276" w:lineRule="auto"/>
        <w:ind w:left="450" w:hanging="450"/>
        <w:rPr>
          <w:sz w:val="20"/>
          <w:szCs w:val="20"/>
        </w:rPr>
      </w:pPr>
    </w:p>
    <w:p w14:paraId="009B7228" w14:textId="51AF51FE" w:rsidR="00A85D38" w:rsidRDefault="00A85D38" w:rsidP="00A662B0">
      <w:pPr>
        <w:pStyle w:val="ListParagraph"/>
        <w:numPr>
          <w:ilvl w:val="0"/>
          <w:numId w:val="2"/>
        </w:numPr>
        <w:spacing w:line="276" w:lineRule="auto"/>
        <w:ind w:left="450" w:hanging="450"/>
      </w:pPr>
      <w:r>
        <w:t xml:space="preserve">The RUs must be architecturally similar in size </w:t>
      </w:r>
      <w:r w:rsidR="005930B3">
        <w:t>to</w:t>
      </w:r>
      <w:r>
        <w:t xml:space="preserve"> the market rate units in the development.</w:t>
      </w:r>
    </w:p>
    <w:p w14:paraId="66772BE4" w14:textId="77777777" w:rsidR="00A85D38" w:rsidRPr="00121ECF" w:rsidRDefault="00A85D38" w:rsidP="00A662B0">
      <w:pPr>
        <w:pStyle w:val="ListParagraph"/>
        <w:spacing w:line="276" w:lineRule="auto"/>
        <w:rPr>
          <w:sz w:val="20"/>
          <w:szCs w:val="20"/>
        </w:rPr>
      </w:pPr>
    </w:p>
    <w:p w14:paraId="04DBAEFD" w14:textId="651C5FBD" w:rsidR="00A85D38" w:rsidRDefault="00A85D38" w:rsidP="00A662B0">
      <w:pPr>
        <w:pStyle w:val="ListParagraph"/>
        <w:numPr>
          <w:ilvl w:val="0"/>
          <w:numId w:val="2"/>
        </w:numPr>
        <w:spacing w:line="276" w:lineRule="auto"/>
        <w:ind w:left="450" w:hanging="450"/>
      </w:pPr>
      <w:r>
        <w:t>The exterior construction material, finishes</w:t>
      </w:r>
      <w:r w:rsidR="005930B3">
        <w:t>,</w:t>
      </w:r>
      <w:r>
        <w:t xml:space="preserve"> and landscaping must be comparable quality and generally indistinguishable is exterior appearance with the base as the market rate units.  </w:t>
      </w:r>
    </w:p>
    <w:p w14:paraId="7AD4C0BA" w14:textId="77777777" w:rsidR="00A85D38" w:rsidRPr="00121ECF" w:rsidRDefault="00A85D38" w:rsidP="00A662B0">
      <w:pPr>
        <w:pStyle w:val="ListParagraph"/>
        <w:spacing w:line="276" w:lineRule="auto"/>
        <w:ind w:left="450" w:hanging="450"/>
        <w:rPr>
          <w:sz w:val="20"/>
          <w:szCs w:val="20"/>
        </w:rPr>
      </w:pPr>
    </w:p>
    <w:p w14:paraId="4EF28ED7" w14:textId="4DE95144" w:rsidR="00A85D38" w:rsidRDefault="00A85D38" w:rsidP="00A662B0">
      <w:pPr>
        <w:pStyle w:val="ListParagraph"/>
        <w:numPr>
          <w:ilvl w:val="0"/>
          <w:numId w:val="2"/>
        </w:numPr>
        <w:spacing w:line="276" w:lineRule="auto"/>
        <w:ind w:left="450" w:hanging="450"/>
      </w:pPr>
      <w:r>
        <w:t>Although the RUs can have reduced interior finishes and features th</w:t>
      </w:r>
      <w:r w:rsidR="00D57822">
        <w:t>an the market rate units, the R</w:t>
      </w:r>
      <w:r>
        <w:t xml:space="preserve">Us must be good quality and functionally equivalent to the market rate units.  The reduction to the interior amenities may not include a reduction in improvements related to energy efficiency, </w:t>
      </w:r>
      <w:proofErr w:type="gramStart"/>
      <w:r>
        <w:t>heating</w:t>
      </w:r>
      <w:proofErr w:type="gramEnd"/>
      <w:r>
        <w:t xml:space="preserve"> and cooling equipment, and plumbing and electrical systems. </w:t>
      </w:r>
    </w:p>
    <w:p w14:paraId="2ADC91EB" w14:textId="77777777" w:rsidR="00A85D38" w:rsidRPr="000F0123" w:rsidRDefault="00A85D38" w:rsidP="00A662B0">
      <w:pPr>
        <w:spacing w:line="276" w:lineRule="auto"/>
        <w:rPr>
          <w:b/>
          <w:sz w:val="24"/>
          <w:szCs w:val="24"/>
        </w:rPr>
      </w:pPr>
      <w:r w:rsidRPr="000F0123">
        <w:rPr>
          <w:b/>
          <w:sz w:val="24"/>
          <w:szCs w:val="24"/>
        </w:rPr>
        <w:lastRenderedPageBreak/>
        <w:t>P</w:t>
      </w:r>
      <w:r>
        <w:rPr>
          <w:b/>
          <w:sz w:val="24"/>
          <w:szCs w:val="24"/>
        </w:rPr>
        <w:t>ROCESS</w:t>
      </w:r>
    </w:p>
    <w:p w14:paraId="6AD6A688" w14:textId="77777777" w:rsidR="00A85D38" w:rsidRPr="000F0123" w:rsidRDefault="00A85D38" w:rsidP="00A662B0">
      <w:pPr>
        <w:spacing w:line="276" w:lineRule="auto"/>
        <w:rPr>
          <w:sz w:val="16"/>
          <w:szCs w:val="16"/>
        </w:rPr>
      </w:pPr>
    </w:p>
    <w:p w14:paraId="47BF9828" w14:textId="01230A1A" w:rsidR="00A85D38" w:rsidRDefault="00A85D38" w:rsidP="00A662B0">
      <w:pPr>
        <w:spacing w:line="276" w:lineRule="auto"/>
      </w:pPr>
      <w:r>
        <w:t>Prior to submitting a site development or a subdivision application with the County, the applicant must meet with ACDS t</w:t>
      </w:r>
      <w:r w:rsidR="00D57822">
        <w:t>o review the requirements for R</w:t>
      </w:r>
      <w:r>
        <w:t xml:space="preserve">Us and the process for implementing these requirements. The developer will be required to enter into a Development Agreement with the County prior to site development or final plat approval. This Agreement will define the number of RUs, construction schedule, the type and location of the RUs and any other requirements for </w:t>
      </w:r>
      <w:proofErr w:type="spellStart"/>
      <w:r>
        <w:t>RUs.</w:t>
      </w:r>
      <w:proofErr w:type="spellEnd"/>
      <w:r>
        <w:t xml:space="preserve"> The RUs also must be noted on the record subdivision </w:t>
      </w:r>
      <w:proofErr w:type="gramStart"/>
      <w:r>
        <w:t>plat</w:t>
      </w:r>
      <w:proofErr w:type="gramEnd"/>
      <w:r>
        <w:t xml:space="preserve"> or site development plan, whichever is </w:t>
      </w:r>
      <w:r w:rsidR="005433AC">
        <w:t>applicable,</w:t>
      </w:r>
      <w:r>
        <w:t xml:space="preserve"> and a covenant recorded in the County Land Records.</w:t>
      </w:r>
      <w:r w:rsidR="00E022C4">
        <w:t xml:space="preserve">  The covenant may be released at any time if the project does not move forward with written approval by the Office of Planning and Zoning.  </w:t>
      </w:r>
    </w:p>
    <w:p w14:paraId="1C3D0DFA" w14:textId="77777777" w:rsidR="00A85D38" w:rsidRPr="0077623E" w:rsidRDefault="00A85D38" w:rsidP="00A662B0">
      <w:pPr>
        <w:spacing w:line="276" w:lineRule="auto"/>
        <w:rPr>
          <w:sz w:val="26"/>
          <w:szCs w:val="26"/>
        </w:rPr>
      </w:pPr>
    </w:p>
    <w:p w14:paraId="6D4DE252" w14:textId="77777777" w:rsidR="00A85D38" w:rsidRPr="0077623E" w:rsidRDefault="00A85D38" w:rsidP="00A85D38">
      <w:pPr>
        <w:tabs>
          <w:tab w:val="left" w:pos="450"/>
        </w:tabs>
        <w:jc w:val="both"/>
        <w:rPr>
          <w:rFonts w:ascii="Corbel" w:hAnsi="Corbel" w:cs="Calibri"/>
          <w:b/>
          <w:sz w:val="28"/>
          <w:szCs w:val="28"/>
        </w:rPr>
      </w:pPr>
      <w:r w:rsidRPr="0077623E">
        <w:rPr>
          <w:rFonts w:ascii="Corbel" w:hAnsi="Corbel" w:cs="Calibri"/>
          <w:b/>
          <w:sz w:val="28"/>
          <w:szCs w:val="28"/>
        </w:rPr>
        <w:t>EFFECTIVE DATE</w:t>
      </w:r>
    </w:p>
    <w:p w14:paraId="5FF04DF6" w14:textId="77777777" w:rsidR="00A85D38" w:rsidRPr="0077623E" w:rsidRDefault="00A85D38" w:rsidP="00A85D38">
      <w:pPr>
        <w:rPr>
          <w:sz w:val="20"/>
          <w:szCs w:val="20"/>
        </w:rPr>
      </w:pPr>
    </w:p>
    <w:p w14:paraId="20EBBF0B" w14:textId="77777777" w:rsidR="00A85D38" w:rsidRDefault="00A85D38" w:rsidP="00A85D38">
      <w:r w:rsidRPr="00481590">
        <w:t xml:space="preserve">The effective date of this </w:t>
      </w:r>
      <w:r>
        <w:t xml:space="preserve">Workforce Housing Conditional Use Policies and Procedures </w:t>
      </w:r>
      <w:r w:rsidRPr="00481590">
        <w:t xml:space="preserve">shall </w:t>
      </w:r>
      <w:proofErr w:type="gramStart"/>
      <w:r w:rsidRPr="00481590">
        <w:t>be</w:t>
      </w:r>
      <w:proofErr w:type="gramEnd"/>
    </w:p>
    <w:p w14:paraId="0F0CD953" w14:textId="0D1466CE" w:rsidR="00A85D38" w:rsidRPr="00481590" w:rsidRDefault="0077623E" w:rsidP="00A85D38">
      <w:proofErr w:type="gramStart"/>
      <w:r>
        <w:t>April</w:t>
      </w:r>
      <w:r w:rsidR="009438E5">
        <w:t>,</w:t>
      </w:r>
      <w:proofErr w:type="gramEnd"/>
      <w:r w:rsidR="009438E5">
        <w:t xml:space="preserve"> 2022. </w:t>
      </w:r>
    </w:p>
    <w:p w14:paraId="7AF9EDD6" w14:textId="77777777" w:rsidR="00A85D38" w:rsidRPr="00481590" w:rsidRDefault="00A85D38" w:rsidP="00A85D38"/>
    <w:p w14:paraId="61261CC8" w14:textId="77777777" w:rsidR="00A85D38" w:rsidRPr="00481590" w:rsidRDefault="00A85D38" w:rsidP="00A85D38"/>
    <w:p w14:paraId="0E2B102F" w14:textId="3FAA220E" w:rsidR="00A85D38" w:rsidRPr="00481590" w:rsidRDefault="00A85D38" w:rsidP="00A85D38">
      <w:r w:rsidRPr="00481590">
        <w:rPr>
          <w:u w:val="single"/>
        </w:rPr>
        <w:tab/>
      </w:r>
      <w:r w:rsidRPr="00481590">
        <w:rPr>
          <w:u w:val="single"/>
        </w:rPr>
        <w:tab/>
      </w:r>
      <w:r w:rsidRPr="00481590">
        <w:rPr>
          <w:u w:val="single"/>
        </w:rPr>
        <w:tab/>
      </w:r>
      <w:r w:rsidRPr="00481590">
        <w:rPr>
          <w:u w:val="single"/>
        </w:rPr>
        <w:tab/>
      </w:r>
      <w:r w:rsidRPr="00481590">
        <w:rPr>
          <w:u w:val="single"/>
        </w:rPr>
        <w:tab/>
      </w:r>
      <w:r w:rsidRPr="00481590">
        <w:rPr>
          <w:u w:val="single"/>
        </w:rPr>
        <w:tab/>
      </w:r>
      <w:r w:rsidRPr="00481590">
        <w:tab/>
      </w:r>
      <w:r w:rsidRPr="00481590">
        <w:tab/>
      </w:r>
      <w:r w:rsidRPr="00481590">
        <w:rPr>
          <w:u w:val="single"/>
        </w:rPr>
        <w:tab/>
      </w:r>
      <w:r w:rsidRPr="00481590">
        <w:rPr>
          <w:u w:val="single"/>
        </w:rPr>
        <w:tab/>
      </w:r>
      <w:r w:rsidR="0077623E">
        <w:rPr>
          <w:u w:val="single"/>
        </w:rPr>
        <w:tab/>
      </w:r>
      <w:r w:rsidR="0077623E">
        <w:rPr>
          <w:u w:val="single"/>
        </w:rPr>
        <w:tab/>
      </w:r>
    </w:p>
    <w:p w14:paraId="2518814A" w14:textId="2D181F0E" w:rsidR="00A85D38" w:rsidRDefault="009438E5" w:rsidP="00A85D38">
      <w:r>
        <w:t>Erin Karpewicz, Chief Executive Officer</w:t>
      </w:r>
      <w:r w:rsidR="00A85D38" w:rsidRPr="00481590">
        <w:tab/>
      </w:r>
      <w:r w:rsidR="00A85D38" w:rsidRPr="00481590">
        <w:tab/>
      </w:r>
      <w:r w:rsidR="00A85D38" w:rsidRPr="00481590">
        <w:tab/>
        <w:t>Date</w:t>
      </w:r>
    </w:p>
    <w:p w14:paraId="08CE5B70" w14:textId="48A8F715" w:rsidR="00C41963" w:rsidRDefault="00C41963" w:rsidP="00A85D38"/>
    <w:p w14:paraId="151BAAF6" w14:textId="77777777" w:rsidR="00C41963" w:rsidRDefault="00C41963" w:rsidP="00A85D38"/>
    <w:p w14:paraId="472F5076" w14:textId="14AF95C9" w:rsidR="00C41963" w:rsidRPr="00C41963" w:rsidRDefault="00C41963" w:rsidP="00A85D38">
      <w:pPr>
        <w:rPr>
          <w:sz w:val="12"/>
          <w:szCs w:val="12"/>
        </w:rPr>
      </w:pPr>
      <w:r w:rsidRPr="00C41963">
        <w:rPr>
          <w:sz w:val="12"/>
          <w:szCs w:val="12"/>
        </w:rPr>
        <w:fldChar w:fldCharType="begin"/>
      </w:r>
      <w:r w:rsidRPr="00C41963">
        <w:rPr>
          <w:sz w:val="12"/>
          <w:szCs w:val="12"/>
        </w:rPr>
        <w:instrText xml:space="preserve"> FILENAME  \* Lower \p  \* MERGEFORMAT </w:instrText>
      </w:r>
      <w:r w:rsidRPr="00C41963">
        <w:rPr>
          <w:sz w:val="12"/>
          <w:szCs w:val="12"/>
        </w:rPr>
        <w:fldChar w:fldCharType="separate"/>
      </w:r>
      <w:r w:rsidR="005930B3">
        <w:rPr>
          <w:noProof/>
          <w:sz w:val="12"/>
          <w:szCs w:val="12"/>
        </w:rPr>
        <w:t>https://acdsinc.sharepoint.com/sites/acdsdocuments/planning/planning documents/workforce housing policy development/wfh_conditional use requirements_published by opz june.2023.docx</w:t>
      </w:r>
      <w:r w:rsidRPr="00C41963">
        <w:rPr>
          <w:sz w:val="12"/>
          <w:szCs w:val="12"/>
        </w:rPr>
        <w:fldChar w:fldCharType="end"/>
      </w:r>
    </w:p>
    <w:p w14:paraId="3824BFC9" w14:textId="77777777" w:rsidR="00A85D38" w:rsidRPr="00C41963" w:rsidRDefault="00A85D38" w:rsidP="00A85D38">
      <w:pPr>
        <w:rPr>
          <w:sz w:val="12"/>
          <w:szCs w:val="12"/>
        </w:rPr>
      </w:pPr>
    </w:p>
    <w:p w14:paraId="74DE5BEE" w14:textId="77777777" w:rsidR="00A85D38" w:rsidRDefault="00A85D38" w:rsidP="00A85D38">
      <w:pPr>
        <w:sectPr w:rsidR="00A85D38" w:rsidSect="0077623E">
          <w:headerReference w:type="default" r:id="rId11"/>
          <w:footerReference w:type="default" r:id="rId12"/>
          <w:footerReference w:type="first" r:id="rId13"/>
          <w:pgSz w:w="12240" w:h="15840" w:code="1"/>
          <w:pgMar w:top="1440" w:right="1440" w:bottom="1224" w:left="1440" w:header="864" w:footer="432" w:gutter="0"/>
          <w:pgNumType w:start="1"/>
          <w:cols w:space="720"/>
          <w:noEndnote/>
          <w:titlePg/>
          <w:docGrid w:linePitch="313"/>
        </w:sectPr>
      </w:pPr>
    </w:p>
    <w:p w14:paraId="1179B878" w14:textId="77777777" w:rsidR="00A85D38" w:rsidRPr="00A865D8" w:rsidRDefault="00A85D38" w:rsidP="00A85D38">
      <w:pPr>
        <w:jc w:val="center"/>
        <w:rPr>
          <w:b/>
          <w:sz w:val="28"/>
          <w:szCs w:val="28"/>
        </w:rPr>
      </w:pPr>
      <w:r w:rsidRPr="00A865D8">
        <w:rPr>
          <w:b/>
          <w:sz w:val="28"/>
          <w:szCs w:val="28"/>
        </w:rPr>
        <w:lastRenderedPageBreak/>
        <w:t>WORKFORCE HOUSING PROGRAM</w:t>
      </w:r>
    </w:p>
    <w:p w14:paraId="05A68294" w14:textId="77777777" w:rsidR="00A85D38" w:rsidRPr="007D2C49" w:rsidRDefault="00A85D38" w:rsidP="00A85D38">
      <w:pPr>
        <w:jc w:val="center"/>
        <w:rPr>
          <w:b/>
          <w:sz w:val="20"/>
          <w:szCs w:val="20"/>
        </w:rPr>
      </w:pPr>
    </w:p>
    <w:p w14:paraId="5FEC16F8" w14:textId="77777777" w:rsidR="00A85D38" w:rsidRDefault="00A85D38" w:rsidP="00A85D38">
      <w:pPr>
        <w:jc w:val="center"/>
        <w:rPr>
          <w:b/>
          <w:sz w:val="26"/>
          <w:szCs w:val="26"/>
        </w:rPr>
      </w:pPr>
      <w:r w:rsidRPr="00A865D8">
        <w:rPr>
          <w:b/>
          <w:sz w:val="26"/>
          <w:szCs w:val="26"/>
        </w:rPr>
        <w:t xml:space="preserve">Calculation of Maximum Sales Price </w:t>
      </w:r>
      <w:r>
        <w:rPr>
          <w:b/>
          <w:sz w:val="26"/>
          <w:szCs w:val="26"/>
        </w:rPr>
        <w:t>Worksheet</w:t>
      </w:r>
    </w:p>
    <w:p w14:paraId="7F3A1290" w14:textId="77777777" w:rsidR="00A85D38" w:rsidRPr="00C41963" w:rsidRDefault="00A85D38" w:rsidP="00A85D38">
      <w:pPr>
        <w:jc w:val="center"/>
        <w:rPr>
          <w:b/>
          <w:sz w:val="24"/>
          <w:szCs w:val="24"/>
        </w:rPr>
      </w:pPr>
      <w:r w:rsidRPr="00C41963">
        <w:rPr>
          <w:b/>
          <w:sz w:val="24"/>
          <w:szCs w:val="24"/>
        </w:rPr>
        <w:t>(100% AMI)</w:t>
      </w:r>
    </w:p>
    <w:p w14:paraId="71E722C8" w14:textId="77777777" w:rsidR="00A85D38" w:rsidRPr="00D2164F" w:rsidRDefault="00A85D38" w:rsidP="00A85D38">
      <w:pPr>
        <w:pBdr>
          <w:bottom w:val="single" w:sz="4" w:space="1" w:color="auto"/>
        </w:pBdr>
        <w:jc w:val="center"/>
        <w:rPr>
          <w:b/>
          <w:sz w:val="22"/>
          <w:szCs w:val="22"/>
        </w:rPr>
      </w:pPr>
    </w:p>
    <w:p w14:paraId="4B2E5841" w14:textId="77777777" w:rsidR="00A85D38" w:rsidRPr="00D2164F" w:rsidRDefault="00A85D38" w:rsidP="00A85D38">
      <w:pPr>
        <w:jc w:val="center"/>
        <w:rPr>
          <w:b/>
          <w:sz w:val="22"/>
          <w:szCs w:val="22"/>
        </w:rPr>
      </w:pPr>
    </w:p>
    <w:p w14:paraId="4BFC8A5B" w14:textId="77777777" w:rsidR="00A85D38" w:rsidRPr="00C41963" w:rsidRDefault="00A85D38" w:rsidP="00A85D38">
      <w:pPr>
        <w:rPr>
          <w:rFonts w:ascii="Corbel" w:hAnsi="Corbel"/>
          <w:b/>
          <w:sz w:val="26"/>
          <w:szCs w:val="26"/>
        </w:rPr>
      </w:pPr>
      <w:r w:rsidRPr="00C41963">
        <w:rPr>
          <w:rFonts w:ascii="Corbel" w:hAnsi="Corbel"/>
          <w:b/>
          <w:sz w:val="26"/>
          <w:szCs w:val="26"/>
        </w:rPr>
        <w:t>STEP ONE: DETERMINE HOUSEHOLD SIZE</w:t>
      </w:r>
    </w:p>
    <w:p w14:paraId="3254AF9C" w14:textId="77777777" w:rsidR="00A85D38" w:rsidRPr="007D2C49" w:rsidRDefault="00A85D38" w:rsidP="00A85D38">
      <w:pPr>
        <w:rPr>
          <w:sz w:val="18"/>
          <w:szCs w:val="18"/>
        </w:rPr>
      </w:pPr>
    </w:p>
    <w:p w14:paraId="75E1B262" w14:textId="77777777" w:rsidR="00A85D38" w:rsidRPr="00C83DC4" w:rsidRDefault="00A85D38" w:rsidP="00A85D38">
      <w:r w:rsidRPr="00C83DC4">
        <w:t>Calculate Household Size by Multi</w:t>
      </w:r>
      <w:r w:rsidR="00766307">
        <w:t>plying Number of Bedrooms by 1.5</w:t>
      </w:r>
      <w:r w:rsidRPr="00C83DC4">
        <w:t xml:space="preserve"> Occupants</w:t>
      </w:r>
    </w:p>
    <w:p w14:paraId="6E855B13" w14:textId="77777777" w:rsidR="00A85D38" w:rsidRPr="007D2C49" w:rsidRDefault="00A85D38" w:rsidP="00A85D38">
      <w:pPr>
        <w:rPr>
          <w:i/>
          <w:sz w:val="20"/>
          <w:szCs w:val="20"/>
        </w:rPr>
      </w:pPr>
    </w:p>
    <w:tbl>
      <w:tblPr>
        <w:tblStyle w:val="TableGrid"/>
        <w:tblW w:w="0" w:type="auto"/>
        <w:jc w:val="center"/>
        <w:tblLook w:val="04A0" w:firstRow="1" w:lastRow="0" w:firstColumn="1" w:lastColumn="0" w:noHBand="0" w:noVBand="1"/>
      </w:tblPr>
      <w:tblGrid>
        <w:gridCol w:w="2345"/>
        <w:gridCol w:w="2510"/>
      </w:tblGrid>
      <w:tr w:rsidR="00A85D38" w14:paraId="11CF1FF2" w14:textId="77777777" w:rsidTr="00D2164F">
        <w:trPr>
          <w:trHeight w:val="360"/>
          <w:jc w:val="center"/>
        </w:trPr>
        <w:tc>
          <w:tcPr>
            <w:tcW w:w="2345" w:type="dxa"/>
            <w:shd w:val="clear" w:color="auto" w:fill="F2F2F2" w:themeFill="background1" w:themeFillShade="F2"/>
            <w:vAlign w:val="center"/>
          </w:tcPr>
          <w:p w14:paraId="0D03E350" w14:textId="77777777" w:rsidR="00A85D38" w:rsidRPr="00451F2B" w:rsidRDefault="00A85D38" w:rsidP="00CC0456">
            <w:pPr>
              <w:jc w:val="center"/>
              <w:rPr>
                <w:b/>
                <w:sz w:val="20"/>
                <w:szCs w:val="20"/>
              </w:rPr>
            </w:pPr>
            <w:r w:rsidRPr="00451F2B">
              <w:rPr>
                <w:b/>
                <w:sz w:val="20"/>
                <w:szCs w:val="20"/>
              </w:rPr>
              <w:t>Number of Bedrooms</w:t>
            </w:r>
          </w:p>
        </w:tc>
        <w:tc>
          <w:tcPr>
            <w:tcW w:w="2510" w:type="dxa"/>
            <w:shd w:val="clear" w:color="auto" w:fill="F2F2F2" w:themeFill="background1" w:themeFillShade="F2"/>
            <w:vAlign w:val="center"/>
          </w:tcPr>
          <w:p w14:paraId="69342DD4" w14:textId="77777777" w:rsidR="00A85D38" w:rsidRPr="00451F2B" w:rsidRDefault="00A85D38" w:rsidP="00CC0456">
            <w:pPr>
              <w:jc w:val="center"/>
              <w:rPr>
                <w:b/>
                <w:sz w:val="20"/>
                <w:szCs w:val="20"/>
              </w:rPr>
            </w:pPr>
            <w:r w:rsidRPr="00451F2B">
              <w:rPr>
                <w:b/>
                <w:sz w:val="20"/>
                <w:szCs w:val="20"/>
              </w:rPr>
              <w:t>Household Size</w:t>
            </w:r>
          </w:p>
        </w:tc>
      </w:tr>
      <w:tr w:rsidR="00A85D38" w14:paraId="52D7C75B" w14:textId="77777777" w:rsidTr="00D2164F">
        <w:trPr>
          <w:trHeight w:val="360"/>
          <w:jc w:val="center"/>
        </w:trPr>
        <w:tc>
          <w:tcPr>
            <w:tcW w:w="2345" w:type="dxa"/>
            <w:vAlign w:val="center"/>
          </w:tcPr>
          <w:p w14:paraId="5209390A" w14:textId="77777777" w:rsidR="00A85D38" w:rsidRPr="00451F2B" w:rsidRDefault="00A85D38" w:rsidP="00CC0456">
            <w:pPr>
              <w:jc w:val="center"/>
              <w:rPr>
                <w:sz w:val="20"/>
                <w:szCs w:val="20"/>
              </w:rPr>
            </w:pPr>
            <w:r w:rsidRPr="00451F2B">
              <w:rPr>
                <w:sz w:val="20"/>
                <w:szCs w:val="20"/>
              </w:rPr>
              <w:t>1</w:t>
            </w:r>
          </w:p>
        </w:tc>
        <w:tc>
          <w:tcPr>
            <w:tcW w:w="2510" w:type="dxa"/>
            <w:vAlign w:val="center"/>
          </w:tcPr>
          <w:p w14:paraId="46DE2254" w14:textId="77777777" w:rsidR="00A85D38" w:rsidRPr="00451F2B" w:rsidRDefault="00A85D38" w:rsidP="00CC0456">
            <w:pPr>
              <w:jc w:val="center"/>
              <w:rPr>
                <w:sz w:val="20"/>
                <w:szCs w:val="20"/>
              </w:rPr>
            </w:pPr>
            <w:r w:rsidRPr="00451F2B">
              <w:rPr>
                <w:sz w:val="20"/>
                <w:szCs w:val="20"/>
              </w:rPr>
              <w:t>2</w:t>
            </w:r>
          </w:p>
        </w:tc>
      </w:tr>
      <w:tr w:rsidR="00A85D38" w14:paraId="138FBF45" w14:textId="77777777" w:rsidTr="00D2164F">
        <w:trPr>
          <w:trHeight w:val="360"/>
          <w:jc w:val="center"/>
        </w:trPr>
        <w:tc>
          <w:tcPr>
            <w:tcW w:w="2345" w:type="dxa"/>
            <w:vAlign w:val="center"/>
          </w:tcPr>
          <w:p w14:paraId="3B07DBE7" w14:textId="77777777" w:rsidR="00A85D38" w:rsidRPr="00451F2B" w:rsidRDefault="00A85D38" w:rsidP="00CC0456">
            <w:pPr>
              <w:jc w:val="center"/>
              <w:rPr>
                <w:sz w:val="20"/>
                <w:szCs w:val="20"/>
              </w:rPr>
            </w:pPr>
            <w:r w:rsidRPr="00451F2B">
              <w:rPr>
                <w:sz w:val="20"/>
                <w:szCs w:val="20"/>
              </w:rPr>
              <w:t>2</w:t>
            </w:r>
          </w:p>
        </w:tc>
        <w:tc>
          <w:tcPr>
            <w:tcW w:w="2510" w:type="dxa"/>
            <w:vAlign w:val="center"/>
          </w:tcPr>
          <w:p w14:paraId="378C11B3" w14:textId="77777777" w:rsidR="00A85D38" w:rsidRPr="00451F2B" w:rsidRDefault="00A85D38" w:rsidP="00CC0456">
            <w:pPr>
              <w:jc w:val="center"/>
              <w:rPr>
                <w:sz w:val="20"/>
                <w:szCs w:val="20"/>
              </w:rPr>
            </w:pPr>
            <w:r w:rsidRPr="00451F2B">
              <w:rPr>
                <w:sz w:val="20"/>
                <w:szCs w:val="20"/>
              </w:rPr>
              <w:t>3</w:t>
            </w:r>
          </w:p>
        </w:tc>
      </w:tr>
      <w:tr w:rsidR="00A85D38" w14:paraId="0158B4F5" w14:textId="77777777" w:rsidTr="00D2164F">
        <w:trPr>
          <w:trHeight w:val="360"/>
          <w:jc w:val="center"/>
        </w:trPr>
        <w:tc>
          <w:tcPr>
            <w:tcW w:w="2345" w:type="dxa"/>
            <w:vAlign w:val="center"/>
          </w:tcPr>
          <w:p w14:paraId="0CA9793C" w14:textId="77777777" w:rsidR="00A85D38" w:rsidRPr="00451F2B" w:rsidRDefault="00A85D38" w:rsidP="00CC0456">
            <w:pPr>
              <w:jc w:val="center"/>
              <w:rPr>
                <w:sz w:val="20"/>
                <w:szCs w:val="20"/>
              </w:rPr>
            </w:pPr>
            <w:r w:rsidRPr="00451F2B">
              <w:rPr>
                <w:sz w:val="20"/>
                <w:szCs w:val="20"/>
              </w:rPr>
              <w:t>3</w:t>
            </w:r>
          </w:p>
        </w:tc>
        <w:tc>
          <w:tcPr>
            <w:tcW w:w="2510" w:type="dxa"/>
            <w:vAlign w:val="center"/>
          </w:tcPr>
          <w:p w14:paraId="5C9CAAFE" w14:textId="77777777" w:rsidR="00A85D38" w:rsidRPr="00451F2B" w:rsidRDefault="00A85D38" w:rsidP="00CC0456">
            <w:pPr>
              <w:jc w:val="center"/>
              <w:rPr>
                <w:sz w:val="20"/>
                <w:szCs w:val="20"/>
              </w:rPr>
            </w:pPr>
            <w:r w:rsidRPr="00451F2B">
              <w:rPr>
                <w:sz w:val="20"/>
                <w:szCs w:val="20"/>
              </w:rPr>
              <w:t>4</w:t>
            </w:r>
          </w:p>
        </w:tc>
      </w:tr>
      <w:tr w:rsidR="00A85D38" w14:paraId="6073438E" w14:textId="77777777" w:rsidTr="00D2164F">
        <w:trPr>
          <w:trHeight w:val="360"/>
          <w:jc w:val="center"/>
        </w:trPr>
        <w:tc>
          <w:tcPr>
            <w:tcW w:w="2345" w:type="dxa"/>
            <w:vAlign w:val="center"/>
          </w:tcPr>
          <w:p w14:paraId="4322D6F2" w14:textId="77777777" w:rsidR="00A85D38" w:rsidRPr="00451F2B" w:rsidRDefault="00A85D38" w:rsidP="00CC0456">
            <w:pPr>
              <w:jc w:val="center"/>
              <w:rPr>
                <w:sz w:val="20"/>
                <w:szCs w:val="20"/>
              </w:rPr>
            </w:pPr>
            <w:r w:rsidRPr="00451F2B">
              <w:rPr>
                <w:sz w:val="20"/>
                <w:szCs w:val="20"/>
              </w:rPr>
              <w:t>4</w:t>
            </w:r>
          </w:p>
        </w:tc>
        <w:tc>
          <w:tcPr>
            <w:tcW w:w="2510" w:type="dxa"/>
            <w:vAlign w:val="center"/>
          </w:tcPr>
          <w:p w14:paraId="2A9CE7BF" w14:textId="77777777" w:rsidR="00A85D38" w:rsidRPr="00451F2B" w:rsidRDefault="00A85D38" w:rsidP="00CC0456">
            <w:pPr>
              <w:jc w:val="center"/>
              <w:rPr>
                <w:sz w:val="20"/>
                <w:szCs w:val="20"/>
              </w:rPr>
            </w:pPr>
            <w:r w:rsidRPr="00451F2B">
              <w:rPr>
                <w:sz w:val="20"/>
                <w:szCs w:val="20"/>
              </w:rPr>
              <w:t>5</w:t>
            </w:r>
          </w:p>
        </w:tc>
      </w:tr>
    </w:tbl>
    <w:p w14:paraId="23609AA5" w14:textId="77777777" w:rsidR="00552405" w:rsidRPr="007D2C49" w:rsidRDefault="00552405" w:rsidP="007D2C49">
      <w:pPr>
        <w:rPr>
          <w:i/>
          <w:sz w:val="30"/>
          <w:szCs w:val="30"/>
        </w:rPr>
      </w:pPr>
    </w:p>
    <w:p w14:paraId="1490E854" w14:textId="77777777" w:rsidR="00A85D38" w:rsidRPr="00C41963" w:rsidRDefault="00A85D38" w:rsidP="00A85D38">
      <w:pPr>
        <w:rPr>
          <w:rFonts w:ascii="Corbel" w:hAnsi="Corbel"/>
          <w:b/>
          <w:sz w:val="26"/>
          <w:szCs w:val="26"/>
        </w:rPr>
      </w:pPr>
      <w:r w:rsidRPr="00C41963">
        <w:rPr>
          <w:rFonts w:ascii="Corbel" w:hAnsi="Corbel"/>
          <w:b/>
          <w:sz w:val="26"/>
          <w:szCs w:val="26"/>
        </w:rPr>
        <w:t>STEP TWO: DETERMINE MAXIMUM ANNUAL HOUSEHOLD INCOME</w:t>
      </w:r>
    </w:p>
    <w:p w14:paraId="162DAB2C" w14:textId="77777777" w:rsidR="00A85D38" w:rsidRPr="007D2C49" w:rsidRDefault="00A85D38" w:rsidP="00A85D38">
      <w:pPr>
        <w:rPr>
          <w:i/>
          <w:sz w:val="18"/>
          <w:szCs w:val="18"/>
        </w:rPr>
      </w:pPr>
    </w:p>
    <w:p w14:paraId="710C637D" w14:textId="77777777" w:rsidR="00A85D38" w:rsidRDefault="00A85D38" w:rsidP="00A85D38">
      <w:r w:rsidRPr="00C83DC4">
        <w:t>Use 80 Percent AMI, as published annually by the U.S. Department of Housing and Urban Development (HUD), to Ensure Adequate Pool of Purchasers</w:t>
      </w:r>
    </w:p>
    <w:p w14:paraId="0351AE92" w14:textId="77777777" w:rsidR="00A85D38" w:rsidRPr="007D2C49" w:rsidRDefault="00A85D38" w:rsidP="00A85D38">
      <w:pPr>
        <w:rPr>
          <w:i/>
          <w:sz w:val="20"/>
          <w:szCs w:val="20"/>
        </w:rPr>
      </w:pPr>
    </w:p>
    <w:tbl>
      <w:tblPr>
        <w:tblStyle w:val="TableGrid"/>
        <w:tblW w:w="5665" w:type="dxa"/>
        <w:jc w:val="center"/>
        <w:tblLook w:val="04A0" w:firstRow="1" w:lastRow="0" w:firstColumn="1" w:lastColumn="0" w:noHBand="0" w:noVBand="1"/>
      </w:tblPr>
      <w:tblGrid>
        <w:gridCol w:w="1885"/>
        <w:gridCol w:w="1440"/>
        <w:gridCol w:w="2340"/>
      </w:tblGrid>
      <w:tr w:rsidR="00A85D38" w:rsidRPr="00451F2B" w14:paraId="2FD88652" w14:textId="77777777" w:rsidTr="00D2164F">
        <w:trPr>
          <w:trHeight w:val="360"/>
          <w:jc w:val="center"/>
        </w:trPr>
        <w:tc>
          <w:tcPr>
            <w:tcW w:w="1885" w:type="dxa"/>
            <w:shd w:val="clear" w:color="auto" w:fill="F2F2F2" w:themeFill="background1" w:themeFillShade="F2"/>
          </w:tcPr>
          <w:p w14:paraId="6FA2C9C3" w14:textId="77777777" w:rsidR="00A85D38" w:rsidRPr="00883CC9" w:rsidRDefault="00A85D38" w:rsidP="00CC0456">
            <w:pPr>
              <w:jc w:val="center"/>
              <w:rPr>
                <w:b/>
                <w:sz w:val="20"/>
                <w:szCs w:val="20"/>
              </w:rPr>
            </w:pPr>
            <w:r w:rsidRPr="00883CC9">
              <w:rPr>
                <w:b/>
                <w:sz w:val="20"/>
                <w:szCs w:val="20"/>
              </w:rPr>
              <w:t>Number of Bedrooms</w:t>
            </w:r>
          </w:p>
        </w:tc>
        <w:tc>
          <w:tcPr>
            <w:tcW w:w="1440" w:type="dxa"/>
            <w:shd w:val="clear" w:color="auto" w:fill="F2F2F2" w:themeFill="background1" w:themeFillShade="F2"/>
          </w:tcPr>
          <w:p w14:paraId="53233CEB" w14:textId="77777777" w:rsidR="00A85D38" w:rsidRPr="00883CC9" w:rsidRDefault="00A85D38" w:rsidP="00CC0456">
            <w:pPr>
              <w:jc w:val="center"/>
              <w:rPr>
                <w:b/>
                <w:sz w:val="20"/>
                <w:szCs w:val="20"/>
              </w:rPr>
            </w:pPr>
            <w:r w:rsidRPr="00883CC9">
              <w:rPr>
                <w:b/>
                <w:sz w:val="20"/>
                <w:szCs w:val="20"/>
              </w:rPr>
              <w:t>Household Size</w:t>
            </w:r>
          </w:p>
        </w:tc>
        <w:tc>
          <w:tcPr>
            <w:tcW w:w="2340" w:type="dxa"/>
            <w:shd w:val="clear" w:color="auto" w:fill="F2F2F2" w:themeFill="background1" w:themeFillShade="F2"/>
          </w:tcPr>
          <w:p w14:paraId="09E4F6B0" w14:textId="77777777" w:rsidR="00A85D38" w:rsidRPr="00883CC9" w:rsidRDefault="00A85D38" w:rsidP="00CC0456">
            <w:pPr>
              <w:jc w:val="center"/>
              <w:rPr>
                <w:b/>
                <w:sz w:val="20"/>
                <w:szCs w:val="20"/>
              </w:rPr>
            </w:pPr>
            <w:r w:rsidRPr="00883CC9">
              <w:rPr>
                <w:b/>
                <w:sz w:val="20"/>
                <w:szCs w:val="20"/>
              </w:rPr>
              <w:t>Maximum Annual Household Income</w:t>
            </w:r>
          </w:p>
        </w:tc>
      </w:tr>
      <w:tr w:rsidR="00A85D38" w:rsidRPr="00451F2B" w14:paraId="51354430" w14:textId="77777777" w:rsidTr="00D2164F">
        <w:trPr>
          <w:trHeight w:val="360"/>
          <w:jc w:val="center"/>
        </w:trPr>
        <w:tc>
          <w:tcPr>
            <w:tcW w:w="1885" w:type="dxa"/>
            <w:vAlign w:val="center"/>
          </w:tcPr>
          <w:p w14:paraId="20A5BD1A" w14:textId="77777777" w:rsidR="00A85D38" w:rsidRPr="00883CC9" w:rsidRDefault="00A85D38" w:rsidP="00CC0456">
            <w:pPr>
              <w:jc w:val="center"/>
              <w:rPr>
                <w:sz w:val="20"/>
                <w:szCs w:val="20"/>
              </w:rPr>
            </w:pPr>
            <w:r w:rsidRPr="00883CC9">
              <w:rPr>
                <w:sz w:val="20"/>
                <w:szCs w:val="20"/>
              </w:rPr>
              <w:t>1</w:t>
            </w:r>
          </w:p>
        </w:tc>
        <w:tc>
          <w:tcPr>
            <w:tcW w:w="1440" w:type="dxa"/>
            <w:vAlign w:val="center"/>
          </w:tcPr>
          <w:p w14:paraId="11544299" w14:textId="77777777" w:rsidR="00A85D38" w:rsidRPr="00883CC9" w:rsidRDefault="00A85D38" w:rsidP="00CC0456">
            <w:pPr>
              <w:jc w:val="center"/>
              <w:rPr>
                <w:sz w:val="20"/>
                <w:szCs w:val="20"/>
              </w:rPr>
            </w:pPr>
            <w:r w:rsidRPr="00883CC9">
              <w:rPr>
                <w:sz w:val="20"/>
                <w:szCs w:val="20"/>
              </w:rPr>
              <w:t>2</w:t>
            </w:r>
          </w:p>
        </w:tc>
        <w:tc>
          <w:tcPr>
            <w:tcW w:w="2340" w:type="dxa"/>
            <w:vAlign w:val="center"/>
          </w:tcPr>
          <w:p w14:paraId="688BAB3D" w14:textId="62B5FAD6" w:rsidR="00A85D38" w:rsidRPr="00883CC9" w:rsidRDefault="00A85D38" w:rsidP="00CC0456">
            <w:pPr>
              <w:jc w:val="center"/>
              <w:rPr>
                <w:sz w:val="20"/>
                <w:szCs w:val="20"/>
              </w:rPr>
            </w:pPr>
            <w:r w:rsidRPr="00883CC9">
              <w:rPr>
                <w:sz w:val="20"/>
                <w:szCs w:val="20"/>
              </w:rPr>
              <w:t>$</w:t>
            </w:r>
            <w:r w:rsidR="0058204B">
              <w:rPr>
                <w:sz w:val="20"/>
                <w:szCs w:val="20"/>
              </w:rPr>
              <w:t>75,750</w:t>
            </w:r>
          </w:p>
        </w:tc>
      </w:tr>
      <w:tr w:rsidR="00A85D38" w:rsidRPr="00451F2B" w14:paraId="75F3F9AE" w14:textId="77777777" w:rsidTr="00D2164F">
        <w:trPr>
          <w:trHeight w:val="360"/>
          <w:jc w:val="center"/>
        </w:trPr>
        <w:tc>
          <w:tcPr>
            <w:tcW w:w="1885" w:type="dxa"/>
            <w:vAlign w:val="center"/>
          </w:tcPr>
          <w:p w14:paraId="0385B70A" w14:textId="77777777" w:rsidR="00A85D38" w:rsidRPr="00883CC9" w:rsidRDefault="00A85D38" w:rsidP="00CC0456">
            <w:pPr>
              <w:jc w:val="center"/>
              <w:rPr>
                <w:sz w:val="20"/>
                <w:szCs w:val="20"/>
              </w:rPr>
            </w:pPr>
            <w:r w:rsidRPr="00883CC9">
              <w:rPr>
                <w:sz w:val="20"/>
                <w:szCs w:val="20"/>
              </w:rPr>
              <w:t>2</w:t>
            </w:r>
          </w:p>
        </w:tc>
        <w:tc>
          <w:tcPr>
            <w:tcW w:w="1440" w:type="dxa"/>
            <w:vAlign w:val="center"/>
          </w:tcPr>
          <w:p w14:paraId="3BCBA6B1" w14:textId="77777777" w:rsidR="00A85D38" w:rsidRPr="00883CC9" w:rsidRDefault="00A85D38" w:rsidP="00CC0456">
            <w:pPr>
              <w:jc w:val="center"/>
              <w:rPr>
                <w:sz w:val="20"/>
                <w:szCs w:val="20"/>
              </w:rPr>
            </w:pPr>
            <w:r w:rsidRPr="00883CC9">
              <w:rPr>
                <w:sz w:val="20"/>
                <w:szCs w:val="20"/>
              </w:rPr>
              <w:t>3</w:t>
            </w:r>
          </w:p>
        </w:tc>
        <w:tc>
          <w:tcPr>
            <w:tcW w:w="2340" w:type="dxa"/>
            <w:vAlign w:val="center"/>
          </w:tcPr>
          <w:p w14:paraId="0EC6A6A6" w14:textId="5C5CDE86" w:rsidR="00A85D38" w:rsidRPr="00883CC9" w:rsidRDefault="00A85D38" w:rsidP="00CC0456">
            <w:pPr>
              <w:jc w:val="center"/>
              <w:rPr>
                <w:sz w:val="20"/>
                <w:szCs w:val="20"/>
              </w:rPr>
            </w:pPr>
            <w:r w:rsidRPr="00883CC9">
              <w:rPr>
                <w:sz w:val="20"/>
                <w:szCs w:val="20"/>
              </w:rPr>
              <w:t>$</w:t>
            </w:r>
            <w:r w:rsidR="0058204B">
              <w:rPr>
                <w:sz w:val="20"/>
                <w:szCs w:val="20"/>
              </w:rPr>
              <w:t>85.200</w:t>
            </w:r>
          </w:p>
        </w:tc>
      </w:tr>
      <w:tr w:rsidR="00A85D38" w:rsidRPr="00451F2B" w14:paraId="19F9E395" w14:textId="77777777" w:rsidTr="00D2164F">
        <w:trPr>
          <w:trHeight w:val="360"/>
          <w:jc w:val="center"/>
        </w:trPr>
        <w:tc>
          <w:tcPr>
            <w:tcW w:w="1885" w:type="dxa"/>
            <w:vAlign w:val="center"/>
          </w:tcPr>
          <w:p w14:paraId="2BBE7E13" w14:textId="77777777" w:rsidR="00A85D38" w:rsidRPr="00883CC9" w:rsidRDefault="00A85D38" w:rsidP="00CC0456">
            <w:pPr>
              <w:jc w:val="center"/>
              <w:rPr>
                <w:sz w:val="20"/>
                <w:szCs w:val="20"/>
              </w:rPr>
            </w:pPr>
            <w:r w:rsidRPr="00883CC9">
              <w:rPr>
                <w:sz w:val="20"/>
                <w:szCs w:val="20"/>
              </w:rPr>
              <w:t>3</w:t>
            </w:r>
          </w:p>
        </w:tc>
        <w:tc>
          <w:tcPr>
            <w:tcW w:w="1440" w:type="dxa"/>
            <w:vAlign w:val="center"/>
          </w:tcPr>
          <w:p w14:paraId="45F76E1A" w14:textId="77777777" w:rsidR="00A85D38" w:rsidRPr="00883CC9" w:rsidRDefault="00A85D38" w:rsidP="00CC0456">
            <w:pPr>
              <w:jc w:val="center"/>
              <w:rPr>
                <w:sz w:val="20"/>
                <w:szCs w:val="20"/>
              </w:rPr>
            </w:pPr>
            <w:r w:rsidRPr="00883CC9">
              <w:rPr>
                <w:sz w:val="20"/>
                <w:szCs w:val="20"/>
              </w:rPr>
              <w:t>4</w:t>
            </w:r>
          </w:p>
        </w:tc>
        <w:tc>
          <w:tcPr>
            <w:tcW w:w="2340" w:type="dxa"/>
            <w:vAlign w:val="center"/>
          </w:tcPr>
          <w:p w14:paraId="4047B50F" w14:textId="57E79F45" w:rsidR="00A85D38" w:rsidRPr="00883CC9" w:rsidRDefault="00A85D38" w:rsidP="00CC0456">
            <w:pPr>
              <w:jc w:val="center"/>
              <w:rPr>
                <w:sz w:val="20"/>
                <w:szCs w:val="20"/>
              </w:rPr>
            </w:pPr>
            <w:r w:rsidRPr="00883CC9">
              <w:rPr>
                <w:sz w:val="20"/>
                <w:szCs w:val="20"/>
              </w:rPr>
              <w:t>$</w:t>
            </w:r>
            <w:r w:rsidR="0058204B">
              <w:rPr>
                <w:sz w:val="20"/>
                <w:szCs w:val="20"/>
              </w:rPr>
              <w:t>94,650</w:t>
            </w:r>
          </w:p>
        </w:tc>
      </w:tr>
      <w:tr w:rsidR="00A85D38" w:rsidRPr="00451F2B" w14:paraId="704B9CDD" w14:textId="77777777" w:rsidTr="00D2164F">
        <w:trPr>
          <w:trHeight w:val="360"/>
          <w:jc w:val="center"/>
        </w:trPr>
        <w:tc>
          <w:tcPr>
            <w:tcW w:w="1885" w:type="dxa"/>
            <w:vAlign w:val="center"/>
          </w:tcPr>
          <w:p w14:paraId="229C8A85" w14:textId="77777777" w:rsidR="00A85D38" w:rsidRPr="00883CC9" w:rsidRDefault="00A85D38" w:rsidP="00CC0456">
            <w:pPr>
              <w:jc w:val="center"/>
              <w:rPr>
                <w:sz w:val="20"/>
                <w:szCs w:val="20"/>
              </w:rPr>
            </w:pPr>
            <w:r w:rsidRPr="00883CC9">
              <w:rPr>
                <w:sz w:val="20"/>
                <w:szCs w:val="20"/>
              </w:rPr>
              <w:t>4</w:t>
            </w:r>
          </w:p>
        </w:tc>
        <w:tc>
          <w:tcPr>
            <w:tcW w:w="1440" w:type="dxa"/>
            <w:vAlign w:val="center"/>
          </w:tcPr>
          <w:p w14:paraId="6A7ADD6A" w14:textId="77777777" w:rsidR="00A85D38" w:rsidRPr="00883CC9" w:rsidRDefault="00A85D38" w:rsidP="00CC0456">
            <w:pPr>
              <w:jc w:val="center"/>
              <w:rPr>
                <w:sz w:val="20"/>
                <w:szCs w:val="20"/>
              </w:rPr>
            </w:pPr>
            <w:r w:rsidRPr="00883CC9">
              <w:rPr>
                <w:sz w:val="20"/>
                <w:szCs w:val="20"/>
              </w:rPr>
              <w:t>5</w:t>
            </w:r>
          </w:p>
        </w:tc>
        <w:tc>
          <w:tcPr>
            <w:tcW w:w="2340" w:type="dxa"/>
            <w:vAlign w:val="center"/>
          </w:tcPr>
          <w:p w14:paraId="068D2831" w14:textId="1ED06540" w:rsidR="00A85D38" w:rsidRPr="00883CC9" w:rsidRDefault="00A85D38" w:rsidP="00CC0456">
            <w:pPr>
              <w:jc w:val="center"/>
              <w:rPr>
                <w:sz w:val="20"/>
                <w:szCs w:val="20"/>
              </w:rPr>
            </w:pPr>
            <w:r w:rsidRPr="00883CC9">
              <w:rPr>
                <w:sz w:val="20"/>
                <w:szCs w:val="20"/>
              </w:rPr>
              <w:t>$</w:t>
            </w:r>
            <w:r w:rsidR="0058204B">
              <w:rPr>
                <w:sz w:val="20"/>
                <w:szCs w:val="20"/>
              </w:rPr>
              <w:t>102,250</w:t>
            </w:r>
          </w:p>
        </w:tc>
      </w:tr>
    </w:tbl>
    <w:p w14:paraId="2DE31A0B" w14:textId="77777777" w:rsidR="00552405" w:rsidRPr="007D2C49" w:rsidRDefault="00552405" w:rsidP="007D2C49">
      <w:pPr>
        <w:rPr>
          <w:sz w:val="30"/>
          <w:szCs w:val="30"/>
        </w:rPr>
      </w:pPr>
    </w:p>
    <w:p w14:paraId="70696DAE" w14:textId="77777777" w:rsidR="00A85D38" w:rsidRPr="00C41963" w:rsidRDefault="00A85D38" w:rsidP="00A85D38">
      <w:pPr>
        <w:rPr>
          <w:rFonts w:ascii="Corbel" w:hAnsi="Corbel"/>
          <w:b/>
          <w:sz w:val="26"/>
          <w:szCs w:val="26"/>
        </w:rPr>
      </w:pPr>
      <w:r w:rsidRPr="00C41963">
        <w:rPr>
          <w:rFonts w:ascii="Corbel" w:hAnsi="Corbel"/>
          <w:b/>
          <w:sz w:val="26"/>
          <w:szCs w:val="26"/>
        </w:rPr>
        <w:t>STEP THREE: ESTABLISH MONTHLY HOUSEHOLD INCOME</w:t>
      </w:r>
    </w:p>
    <w:p w14:paraId="17A19FAE" w14:textId="77777777" w:rsidR="00A85D38" w:rsidRPr="007D2C49" w:rsidRDefault="00A85D38" w:rsidP="00A85D38">
      <w:pPr>
        <w:rPr>
          <w:sz w:val="18"/>
          <w:szCs w:val="18"/>
        </w:rPr>
      </w:pPr>
    </w:p>
    <w:p w14:paraId="2E77863E" w14:textId="77777777" w:rsidR="00A85D38" w:rsidRDefault="00A85D38" w:rsidP="00A85D38">
      <w:r w:rsidRPr="00C83DC4">
        <w:t>Calculate Monthly Household Income by Dividing Maximum Annual Household Income by 12</w:t>
      </w:r>
    </w:p>
    <w:p w14:paraId="3A65BC8F" w14:textId="77777777" w:rsidR="00A85D38" w:rsidRPr="007D2C49" w:rsidRDefault="00A85D38" w:rsidP="00A85D38">
      <w:pPr>
        <w:rPr>
          <w:sz w:val="20"/>
          <w:szCs w:val="20"/>
        </w:rPr>
      </w:pPr>
    </w:p>
    <w:tbl>
      <w:tblPr>
        <w:tblStyle w:val="TableGrid"/>
        <w:tblW w:w="0" w:type="auto"/>
        <w:jc w:val="center"/>
        <w:tblLook w:val="04A0" w:firstRow="1" w:lastRow="0" w:firstColumn="1" w:lastColumn="0" w:noHBand="0" w:noVBand="1"/>
      </w:tblPr>
      <w:tblGrid>
        <w:gridCol w:w="1985"/>
        <w:gridCol w:w="2060"/>
        <w:gridCol w:w="1980"/>
      </w:tblGrid>
      <w:tr w:rsidR="00A85D38" w:rsidRPr="00451F2B" w14:paraId="6E6966FC" w14:textId="77777777" w:rsidTr="00D2164F">
        <w:trPr>
          <w:trHeight w:val="360"/>
          <w:jc w:val="center"/>
        </w:trPr>
        <w:tc>
          <w:tcPr>
            <w:tcW w:w="1985" w:type="dxa"/>
            <w:shd w:val="clear" w:color="auto" w:fill="F2F2F2" w:themeFill="background1" w:themeFillShade="F2"/>
            <w:vAlign w:val="center"/>
          </w:tcPr>
          <w:p w14:paraId="6BFF9117" w14:textId="77777777" w:rsidR="00A85D38" w:rsidRPr="00451F2B" w:rsidRDefault="00A85D38" w:rsidP="00CC0456">
            <w:pPr>
              <w:jc w:val="center"/>
              <w:rPr>
                <w:b/>
                <w:sz w:val="20"/>
                <w:szCs w:val="20"/>
              </w:rPr>
            </w:pPr>
            <w:r w:rsidRPr="00451F2B">
              <w:rPr>
                <w:b/>
                <w:sz w:val="20"/>
                <w:szCs w:val="20"/>
              </w:rPr>
              <w:t>Number of Bedroom</w:t>
            </w:r>
          </w:p>
        </w:tc>
        <w:tc>
          <w:tcPr>
            <w:tcW w:w="2060" w:type="dxa"/>
            <w:shd w:val="clear" w:color="auto" w:fill="F2F2F2" w:themeFill="background1" w:themeFillShade="F2"/>
            <w:vAlign w:val="center"/>
          </w:tcPr>
          <w:p w14:paraId="466E02B6" w14:textId="77777777" w:rsidR="00A85D38" w:rsidRPr="00451F2B" w:rsidRDefault="00A85D38" w:rsidP="00CC0456">
            <w:pPr>
              <w:jc w:val="center"/>
              <w:rPr>
                <w:b/>
                <w:sz w:val="20"/>
                <w:szCs w:val="20"/>
              </w:rPr>
            </w:pPr>
            <w:r>
              <w:rPr>
                <w:b/>
                <w:sz w:val="20"/>
                <w:szCs w:val="20"/>
              </w:rPr>
              <w:t>Income Limits at</w:t>
            </w:r>
            <w:r w:rsidRPr="00451F2B">
              <w:rPr>
                <w:b/>
                <w:sz w:val="20"/>
                <w:szCs w:val="20"/>
              </w:rPr>
              <w:t xml:space="preserve"> 80% AMI</w:t>
            </w:r>
          </w:p>
        </w:tc>
        <w:tc>
          <w:tcPr>
            <w:tcW w:w="1980" w:type="dxa"/>
            <w:shd w:val="clear" w:color="auto" w:fill="F2F2F2" w:themeFill="background1" w:themeFillShade="F2"/>
            <w:vAlign w:val="center"/>
          </w:tcPr>
          <w:p w14:paraId="056AD491" w14:textId="77777777" w:rsidR="00A85D38" w:rsidRPr="00451F2B" w:rsidRDefault="00A85D38" w:rsidP="00CC0456">
            <w:pPr>
              <w:jc w:val="center"/>
              <w:rPr>
                <w:b/>
                <w:sz w:val="20"/>
                <w:szCs w:val="20"/>
              </w:rPr>
            </w:pPr>
            <w:r w:rsidRPr="00451F2B">
              <w:rPr>
                <w:b/>
                <w:sz w:val="20"/>
                <w:szCs w:val="20"/>
              </w:rPr>
              <w:t>Monthly Household Income</w:t>
            </w:r>
          </w:p>
        </w:tc>
      </w:tr>
      <w:tr w:rsidR="00A85D38" w:rsidRPr="00451F2B" w14:paraId="44614173" w14:textId="77777777" w:rsidTr="00D2164F">
        <w:trPr>
          <w:trHeight w:val="360"/>
          <w:jc w:val="center"/>
        </w:trPr>
        <w:tc>
          <w:tcPr>
            <w:tcW w:w="1985" w:type="dxa"/>
            <w:vAlign w:val="center"/>
          </w:tcPr>
          <w:p w14:paraId="5CA0C71C" w14:textId="77777777" w:rsidR="00A85D38" w:rsidRPr="00451F2B" w:rsidRDefault="00A85D38" w:rsidP="00CC0456">
            <w:pPr>
              <w:jc w:val="center"/>
              <w:rPr>
                <w:sz w:val="20"/>
                <w:szCs w:val="20"/>
              </w:rPr>
            </w:pPr>
            <w:r>
              <w:rPr>
                <w:sz w:val="20"/>
                <w:szCs w:val="20"/>
              </w:rPr>
              <w:t>1</w:t>
            </w:r>
          </w:p>
        </w:tc>
        <w:tc>
          <w:tcPr>
            <w:tcW w:w="2060" w:type="dxa"/>
            <w:vAlign w:val="center"/>
          </w:tcPr>
          <w:p w14:paraId="1F0356DD" w14:textId="02225C54" w:rsidR="00A85D38" w:rsidRPr="00451F2B" w:rsidRDefault="00A85D38" w:rsidP="00CC0456">
            <w:pPr>
              <w:jc w:val="center"/>
              <w:rPr>
                <w:sz w:val="20"/>
                <w:szCs w:val="20"/>
              </w:rPr>
            </w:pPr>
            <w:r>
              <w:rPr>
                <w:sz w:val="20"/>
                <w:szCs w:val="20"/>
              </w:rPr>
              <w:t>$</w:t>
            </w:r>
            <w:r w:rsidR="0058204B">
              <w:rPr>
                <w:sz w:val="20"/>
                <w:szCs w:val="20"/>
              </w:rPr>
              <w:t>75,750</w:t>
            </w:r>
          </w:p>
        </w:tc>
        <w:tc>
          <w:tcPr>
            <w:tcW w:w="1980" w:type="dxa"/>
            <w:vAlign w:val="center"/>
          </w:tcPr>
          <w:p w14:paraId="5E282005" w14:textId="653257C8" w:rsidR="00A85D38" w:rsidRPr="00451F2B" w:rsidRDefault="00A85D38" w:rsidP="00CC0456">
            <w:pPr>
              <w:jc w:val="center"/>
              <w:rPr>
                <w:sz w:val="20"/>
                <w:szCs w:val="20"/>
              </w:rPr>
            </w:pPr>
            <w:r>
              <w:rPr>
                <w:sz w:val="20"/>
                <w:szCs w:val="20"/>
              </w:rPr>
              <w:t>$</w:t>
            </w:r>
            <w:r w:rsidR="0058204B">
              <w:rPr>
                <w:sz w:val="20"/>
                <w:szCs w:val="20"/>
              </w:rPr>
              <w:t>6,313</w:t>
            </w:r>
          </w:p>
        </w:tc>
      </w:tr>
      <w:tr w:rsidR="00A85D38" w:rsidRPr="00451F2B" w14:paraId="0C3E773C" w14:textId="77777777" w:rsidTr="00D2164F">
        <w:trPr>
          <w:trHeight w:val="360"/>
          <w:jc w:val="center"/>
        </w:trPr>
        <w:tc>
          <w:tcPr>
            <w:tcW w:w="1985" w:type="dxa"/>
            <w:vAlign w:val="center"/>
          </w:tcPr>
          <w:p w14:paraId="6218A640" w14:textId="77777777" w:rsidR="00A85D38" w:rsidRPr="00451F2B" w:rsidRDefault="00A85D38" w:rsidP="00CC0456">
            <w:pPr>
              <w:jc w:val="center"/>
              <w:rPr>
                <w:sz w:val="20"/>
                <w:szCs w:val="20"/>
              </w:rPr>
            </w:pPr>
            <w:r>
              <w:rPr>
                <w:sz w:val="20"/>
                <w:szCs w:val="20"/>
              </w:rPr>
              <w:t>2</w:t>
            </w:r>
          </w:p>
        </w:tc>
        <w:tc>
          <w:tcPr>
            <w:tcW w:w="2060" w:type="dxa"/>
            <w:vAlign w:val="center"/>
          </w:tcPr>
          <w:p w14:paraId="66AEDE68" w14:textId="456DFAD0" w:rsidR="00A85D38" w:rsidRPr="00451F2B" w:rsidRDefault="00A85D38" w:rsidP="00CC0456">
            <w:pPr>
              <w:jc w:val="center"/>
              <w:rPr>
                <w:sz w:val="20"/>
                <w:szCs w:val="20"/>
              </w:rPr>
            </w:pPr>
            <w:r>
              <w:rPr>
                <w:sz w:val="20"/>
                <w:szCs w:val="20"/>
              </w:rPr>
              <w:t>$</w:t>
            </w:r>
            <w:r w:rsidR="0058204B">
              <w:rPr>
                <w:sz w:val="20"/>
                <w:szCs w:val="20"/>
              </w:rPr>
              <w:t>85,200</w:t>
            </w:r>
          </w:p>
        </w:tc>
        <w:tc>
          <w:tcPr>
            <w:tcW w:w="1980" w:type="dxa"/>
            <w:vAlign w:val="center"/>
          </w:tcPr>
          <w:p w14:paraId="5D9730F8" w14:textId="6B0F3608" w:rsidR="00A85D38" w:rsidRPr="00451F2B" w:rsidRDefault="00A85D38" w:rsidP="00CC0456">
            <w:pPr>
              <w:jc w:val="center"/>
              <w:rPr>
                <w:sz w:val="20"/>
                <w:szCs w:val="20"/>
              </w:rPr>
            </w:pPr>
            <w:r>
              <w:rPr>
                <w:sz w:val="20"/>
                <w:szCs w:val="20"/>
              </w:rPr>
              <w:t>$</w:t>
            </w:r>
            <w:r w:rsidR="0058204B">
              <w:rPr>
                <w:sz w:val="20"/>
                <w:szCs w:val="20"/>
              </w:rPr>
              <w:t>7,100</w:t>
            </w:r>
          </w:p>
        </w:tc>
      </w:tr>
      <w:tr w:rsidR="00A85D38" w:rsidRPr="00451F2B" w14:paraId="40FB220E" w14:textId="77777777" w:rsidTr="00D2164F">
        <w:trPr>
          <w:trHeight w:val="360"/>
          <w:jc w:val="center"/>
        </w:trPr>
        <w:tc>
          <w:tcPr>
            <w:tcW w:w="1985" w:type="dxa"/>
            <w:vAlign w:val="center"/>
          </w:tcPr>
          <w:p w14:paraId="5370E3CE" w14:textId="77777777" w:rsidR="00A85D38" w:rsidRPr="00451F2B" w:rsidRDefault="00A85D38" w:rsidP="00CC0456">
            <w:pPr>
              <w:jc w:val="center"/>
              <w:rPr>
                <w:sz w:val="20"/>
                <w:szCs w:val="20"/>
              </w:rPr>
            </w:pPr>
            <w:r>
              <w:rPr>
                <w:sz w:val="20"/>
                <w:szCs w:val="20"/>
              </w:rPr>
              <w:t>3</w:t>
            </w:r>
          </w:p>
        </w:tc>
        <w:tc>
          <w:tcPr>
            <w:tcW w:w="2060" w:type="dxa"/>
            <w:vAlign w:val="center"/>
          </w:tcPr>
          <w:p w14:paraId="2CE039B8" w14:textId="14C5DB3D" w:rsidR="00A85D38" w:rsidRPr="00451F2B" w:rsidRDefault="00A85D38" w:rsidP="00CC0456">
            <w:pPr>
              <w:jc w:val="center"/>
              <w:rPr>
                <w:sz w:val="20"/>
                <w:szCs w:val="20"/>
              </w:rPr>
            </w:pPr>
            <w:r>
              <w:rPr>
                <w:sz w:val="20"/>
                <w:szCs w:val="20"/>
              </w:rPr>
              <w:t>$</w:t>
            </w:r>
            <w:r w:rsidR="0058204B">
              <w:rPr>
                <w:sz w:val="20"/>
                <w:szCs w:val="20"/>
              </w:rPr>
              <w:t>94,650</w:t>
            </w:r>
          </w:p>
        </w:tc>
        <w:tc>
          <w:tcPr>
            <w:tcW w:w="1980" w:type="dxa"/>
            <w:vAlign w:val="center"/>
          </w:tcPr>
          <w:p w14:paraId="31130031" w14:textId="5C55674E" w:rsidR="00A85D38" w:rsidRPr="00451F2B" w:rsidRDefault="00A85D38" w:rsidP="00CC0456">
            <w:pPr>
              <w:jc w:val="center"/>
              <w:rPr>
                <w:sz w:val="20"/>
                <w:szCs w:val="20"/>
              </w:rPr>
            </w:pPr>
            <w:r>
              <w:rPr>
                <w:sz w:val="20"/>
                <w:szCs w:val="20"/>
              </w:rPr>
              <w:t>$</w:t>
            </w:r>
            <w:r w:rsidR="0058204B">
              <w:rPr>
                <w:sz w:val="20"/>
                <w:szCs w:val="20"/>
              </w:rPr>
              <w:t>7,888</w:t>
            </w:r>
          </w:p>
        </w:tc>
      </w:tr>
      <w:tr w:rsidR="00A85D38" w:rsidRPr="00451F2B" w14:paraId="4234B4C8" w14:textId="77777777" w:rsidTr="00D2164F">
        <w:trPr>
          <w:trHeight w:val="360"/>
          <w:jc w:val="center"/>
        </w:trPr>
        <w:tc>
          <w:tcPr>
            <w:tcW w:w="1985" w:type="dxa"/>
            <w:vAlign w:val="center"/>
          </w:tcPr>
          <w:p w14:paraId="7D564D25" w14:textId="77777777" w:rsidR="00A85D38" w:rsidRPr="00451F2B" w:rsidRDefault="00A85D38" w:rsidP="00CC0456">
            <w:pPr>
              <w:jc w:val="center"/>
              <w:rPr>
                <w:sz w:val="20"/>
                <w:szCs w:val="20"/>
              </w:rPr>
            </w:pPr>
            <w:r>
              <w:rPr>
                <w:sz w:val="20"/>
                <w:szCs w:val="20"/>
              </w:rPr>
              <w:t>4</w:t>
            </w:r>
          </w:p>
        </w:tc>
        <w:tc>
          <w:tcPr>
            <w:tcW w:w="2060" w:type="dxa"/>
            <w:vAlign w:val="center"/>
          </w:tcPr>
          <w:p w14:paraId="72DA9161" w14:textId="47A00881" w:rsidR="00A85D38" w:rsidRPr="00451F2B" w:rsidRDefault="00A85D38" w:rsidP="00CC0456">
            <w:pPr>
              <w:jc w:val="center"/>
              <w:rPr>
                <w:sz w:val="20"/>
                <w:szCs w:val="20"/>
              </w:rPr>
            </w:pPr>
            <w:r>
              <w:rPr>
                <w:sz w:val="20"/>
                <w:szCs w:val="20"/>
              </w:rPr>
              <w:t>$</w:t>
            </w:r>
            <w:r w:rsidR="0058204B">
              <w:rPr>
                <w:sz w:val="20"/>
                <w:szCs w:val="20"/>
              </w:rPr>
              <w:t>102,250</w:t>
            </w:r>
          </w:p>
        </w:tc>
        <w:tc>
          <w:tcPr>
            <w:tcW w:w="1980" w:type="dxa"/>
            <w:vAlign w:val="center"/>
          </w:tcPr>
          <w:p w14:paraId="460829B4" w14:textId="08A95FCF" w:rsidR="00A85D38" w:rsidRPr="00451F2B" w:rsidRDefault="00A85D38" w:rsidP="00CC0456">
            <w:pPr>
              <w:jc w:val="center"/>
              <w:rPr>
                <w:sz w:val="20"/>
                <w:szCs w:val="20"/>
              </w:rPr>
            </w:pPr>
            <w:r>
              <w:rPr>
                <w:sz w:val="20"/>
                <w:szCs w:val="20"/>
              </w:rPr>
              <w:t>$</w:t>
            </w:r>
            <w:r w:rsidR="0058204B">
              <w:rPr>
                <w:sz w:val="20"/>
                <w:szCs w:val="20"/>
              </w:rPr>
              <w:t>8,521</w:t>
            </w:r>
          </w:p>
        </w:tc>
      </w:tr>
    </w:tbl>
    <w:p w14:paraId="007DAA36" w14:textId="33BB6C68" w:rsidR="00D2164F" w:rsidRDefault="00D2164F" w:rsidP="00A85D38">
      <w:pPr>
        <w:rPr>
          <w:rFonts w:ascii="Corbel" w:hAnsi="Corbel"/>
          <w:b/>
          <w:sz w:val="26"/>
          <w:szCs w:val="26"/>
        </w:rPr>
      </w:pPr>
    </w:p>
    <w:p w14:paraId="560D8380" w14:textId="6C6BD956" w:rsidR="00A85D38" w:rsidRPr="00C41963" w:rsidRDefault="00A85D38" w:rsidP="00A85D38">
      <w:pPr>
        <w:rPr>
          <w:rFonts w:ascii="Corbel" w:hAnsi="Corbel"/>
          <w:b/>
          <w:sz w:val="26"/>
          <w:szCs w:val="26"/>
        </w:rPr>
      </w:pPr>
      <w:r w:rsidRPr="00C41963">
        <w:rPr>
          <w:rFonts w:ascii="Corbel" w:hAnsi="Corbel"/>
          <w:b/>
          <w:sz w:val="26"/>
          <w:szCs w:val="26"/>
        </w:rPr>
        <w:t>STEP FOUR: CALCULATE MAXIMUM HOUSING COST ALLOWANCE</w:t>
      </w:r>
    </w:p>
    <w:p w14:paraId="5F7AA0C3" w14:textId="77777777" w:rsidR="00A85D38" w:rsidRPr="007D2C49" w:rsidRDefault="00A85D38" w:rsidP="00A85D38">
      <w:pPr>
        <w:rPr>
          <w:b/>
          <w:sz w:val="18"/>
          <w:szCs w:val="18"/>
        </w:rPr>
      </w:pPr>
    </w:p>
    <w:p w14:paraId="7E763BD1" w14:textId="77777777" w:rsidR="00A85D38" w:rsidRPr="00C83DC4" w:rsidRDefault="00A85D38" w:rsidP="00A85D38">
      <w:pPr>
        <w:rPr>
          <w:bCs/>
        </w:rPr>
      </w:pPr>
      <w:r w:rsidRPr="00C83DC4">
        <w:t>Calculate Maximum Housing Cost Allowance by Multiplying the Monthly Hous</w:t>
      </w:r>
      <w:r>
        <w:t>ehold Income from Step Two by 30</w:t>
      </w:r>
      <w:r w:rsidRPr="00C83DC4">
        <w:t xml:space="preserve">% </w:t>
      </w:r>
    </w:p>
    <w:tbl>
      <w:tblPr>
        <w:tblStyle w:val="TableGrid"/>
        <w:tblW w:w="0" w:type="auto"/>
        <w:jc w:val="center"/>
        <w:tblLook w:val="04A0" w:firstRow="1" w:lastRow="0" w:firstColumn="1" w:lastColumn="0" w:noHBand="0" w:noVBand="1"/>
      </w:tblPr>
      <w:tblGrid>
        <w:gridCol w:w="1985"/>
        <w:gridCol w:w="2240"/>
        <w:gridCol w:w="1980"/>
      </w:tblGrid>
      <w:tr w:rsidR="00A85D38" w:rsidRPr="00451F2B" w14:paraId="5F008AAD" w14:textId="77777777" w:rsidTr="00D2164F">
        <w:trPr>
          <w:trHeight w:val="360"/>
          <w:jc w:val="center"/>
        </w:trPr>
        <w:tc>
          <w:tcPr>
            <w:tcW w:w="1985" w:type="dxa"/>
            <w:shd w:val="clear" w:color="auto" w:fill="F2F2F2" w:themeFill="background1" w:themeFillShade="F2"/>
            <w:vAlign w:val="center"/>
          </w:tcPr>
          <w:p w14:paraId="276D4427" w14:textId="77777777" w:rsidR="00A85D38" w:rsidRPr="00451F2B" w:rsidRDefault="00A85D38" w:rsidP="00CC0456">
            <w:pPr>
              <w:jc w:val="center"/>
              <w:rPr>
                <w:b/>
                <w:sz w:val="20"/>
                <w:szCs w:val="20"/>
              </w:rPr>
            </w:pPr>
            <w:r w:rsidRPr="00451F2B">
              <w:rPr>
                <w:b/>
                <w:sz w:val="20"/>
                <w:szCs w:val="20"/>
              </w:rPr>
              <w:lastRenderedPageBreak/>
              <w:t>Number of Bedrooms</w:t>
            </w:r>
          </w:p>
        </w:tc>
        <w:tc>
          <w:tcPr>
            <w:tcW w:w="2240" w:type="dxa"/>
            <w:shd w:val="clear" w:color="auto" w:fill="F2F2F2" w:themeFill="background1" w:themeFillShade="F2"/>
            <w:vAlign w:val="center"/>
          </w:tcPr>
          <w:p w14:paraId="25DC61BD" w14:textId="77777777" w:rsidR="00A85D38" w:rsidRPr="00451F2B" w:rsidRDefault="00A85D38" w:rsidP="00CC0456">
            <w:pPr>
              <w:jc w:val="center"/>
              <w:rPr>
                <w:b/>
                <w:sz w:val="20"/>
                <w:szCs w:val="20"/>
              </w:rPr>
            </w:pPr>
            <w:r w:rsidRPr="00451F2B">
              <w:rPr>
                <w:b/>
                <w:sz w:val="20"/>
                <w:szCs w:val="20"/>
              </w:rPr>
              <w:t>Monthly Household Income</w:t>
            </w:r>
          </w:p>
        </w:tc>
        <w:tc>
          <w:tcPr>
            <w:tcW w:w="1980" w:type="dxa"/>
            <w:shd w:val="clear" w:color="auto" w:fill="F2F2F2" w:themeFill="background1" w:themeFillShade="F2"/>
            <w:vAlign w:val="center"/>
          </w:tcPr>
          <w:p w14:paraId="129E53C6" w14:textId="77777777" w:rsidR="00A85D38" w:rsidRPr="00451F2B" w:rsidRDefault="00A85D38" w:rsidP="00CC0456">
            <w:pPr>
              <w:jc w:val="center"/>
              <w:rPr>
                <w:b/>
                <w:sz w:val="20"/>
                <w:szCs w:val="20"/>
              </w:rPr>
            </w:pPr>
            <w:r w:rsidRPr="00451F2B">
              <w:rPr>
                <w:b/>
                <w:sz w:val="20"/>
                <w:szCs w:val="20"/>
              </w:rPr>
              <w:t>Maximum Housing Cost Allowance</w:t>
            </w:r>
          </w:p>
        </w:tc>
      </w:tr>
      <w:tr w:rsidR="00A85D38" w:rsidRPr="00451F2B" w14:paraId="20A5D5A4" w14:textId="77777777" w:rsidTr="00D2164F">
        <w:trPr>
          <w:trHeight w:val="360"/>
          <w:jc w:val="center"/>
        </w:trPr>
        <w:tc>
          <w:tcPr>
            <w:tcW w:w="1985" w:type="dxa"/>
            <w:vAlign w:val="center"/>
          </w:tcPr>
          <w:p w14:paraId="32D4EE15" w14:textId="77777777" w:rsidR="00A85D38" w:rsidRPr="00451F2B" w:rsidRDefault="00A85D38" w:rsidP="00CC0456">
            <w:pPr>
              <w:jc w:val="center"/>
              <w:rPr>
                <w:sz w:val="20"/>
                <w:szCs w:val="20"/>
              </w:rPr>
            </w:pPr>
            <w:r>
              <w:rPr>
                <w:sz w:val="20"/>
                <w:szCs w:val="20"/>
              </w:rPr>
              <w:t>1</w:t>
            </w:r>
          </w:p>
        </w:tc>
        <w:tc>
          <w:tcPr>
            <w:tcW w:w="2240" w:type="dxa"/>
            <w:vAlign w:val="center"/>
          </w:tcPr>
          <w:p w14:paraId="2DBE704D" w14:textId="3CD1CAB1" w:rsidR="00A85D38" w:rsidRPr="00451F2B" w:rsidRDefault="00A85D38" w:rsidP="00CC0456">
            <w:pPr>
              <w:jc w:val="center"/>
              <w:rPr>
                <w:sz w:val="20"/>
                <w:szCs w:val="20"/>
              </w:rPr>
            </w:pPr>
            <w:r>
              <w:rPr>
                <w:sz w:val="20"/>
                <w:szCs w:val="20"/>
              </w:rPr>
              <w:t>$</w:t>
            </w:r>
            <w:r w:rsidR="0058204B">
              <w:rPr>
                <w:sz w:val="20"/>
                <w:szCs w:val="20"/>
              </w:rPr>
              <w:t>6,313</w:t>
            </w:r>
          </w:p>
        </w:tc>
        <w:tc>
          <w:tcPr>
            <w:tcW w:w="1980" w:type="dxa"/>
            <w:vAlign w:val="center"/>
          </w:tcPr>
          <w:p w14:paraId="7DE6F730" w14:textId="423E1E16" w:rsidR="00A85D38" w:rsidRPr="00451F2B" w:rsidRDefault="00A85D38" w:rsidP="00CC0456">
            <w:pPr>
              <w:jc w:val="center"/>
              <w:rPr>
                <w:sz w:val="20"/>
                <w:szCs w:val="20"/>
              </w:rPr>
            </w:pPr>
            <w:r w:rsidRPr="00451F2B">
              <w:rPr>
                <w:sz w:val="20"/>
                <w:szCs w:val="20"/>
              </w:rPr>
              <w:t>$1,</w:t>
            </w:r>
            <w:r w:rsidR="0058204B">
              <w:rPr>
                <w:sz w:val="20"/>
                <w:szCs w:val="20"/>
              </w:rPr>
              <w:t>894</w:t>
            </w:r>
          </w:p>
        </w:tc>
      </w:tr>
      <w:tr w:rsidR="00A85D38" w:rsidRPr="00451F2B" w14:paraId="5D9E3661" w14:textId="77777777" w:rsidTr="00D2164F">
        <w:trPr>
          <w:trHeight w:val="360"/>
          <w:jc w:val="center"/>
        </w:trPr>
        <w:tc>
          <w:tcPr>
            <w:tcW w:w="1985" w:type="dxa"/>
            <w:vAlign w:val="center"/>
          </w:tcPr>
          <w:p w14:paraId="1501A8F5" w14:textId="77777777" w:rsidR="00A85D38" w:rsidRPr="00451F2B" w:rsidRDefault="00A85D38" w:rsidP="00CC0456">
            <w:pPr>
              <w:jc w:val="center"/>
              <w:rPr>
                <w:sz w:val="20"/>
                <w:szCs w:val="20"/>
              </w:rPr>
            </w:pPr>
            <w:r>
              <w:rPr>
                <w:sz w:val="20"/>
                <w:szCs w:val="20"/>
              </w:rPr>
              <w:t>2</w:t>
            </w:r>
          </w:p>
        </w:tc>
        <w:tc>
          <w:tcPr>
            <w:tcW w:w="2240" w:type="dxa"/>
            <w:vAlign w:val="center"/>
          </w:tcPr>
          <w:p w14:paraId="7BBB7134" w14:textId="5892A0A2" w:rsidR="00A85D38" w:rsidRPr="00451F2B" w:rsidRDefault="00A85D38" w:rsidP="00CC0456">
            <w:pPr>
              <w:jc w:val="center"/>
              <w:rPr>
                <w:sz w:val="20"/>
                <w:szCs w:val="20"/>
              </w:rPr>
            </w:pPr>
            <w:r>
              <w:rPr>
                <w:sz w:val="20"/>
                <w:szCs w:val="20"/>
              </w:rPr>
              <w:t>$</w:t>
            </w:r>
            <w:r w:rsidR="0058204B">
              <w:rPr>
                <w:sz w:val="20"/>
                <w:szCs w:val="20"/>
              </w:rPr>
              <w:t>7,100</w:t>
            </w:r>
          </w:p>
        </w:tc>
        <w:tc>
          <w:tcPr>
            <w:tcW w:w="1980" w:type="dxa"/>
            <w:vAlign w:val="center"/>
          </w:tcPr>
          <w:p w14:paraId="60F2CC8D" w14:textId="2F064FC0" w:rsidR="00A85D38" w:rsidRPr="00451F2B" w:rsidRDefault="00A85D38" w:rsidP="00CC0456">
            <w:pPr>
              <w:jc w:val="center"/>
              <w:rPr>
                <w:sz w:val="20"/>
                <w:szCs w:val="20"/>
              </w:rPr>
            </w:pPr>
            <w:r>
              <w:rPr>
                <w:sz w:val="20"/>
                <w:szCs w:val="20"/>
              </w:rPr>
              <w:t>$</w:t>
            </w:r>
            <w:r w:rsidR="0058204B">
              <w:rPr>
                <w:sz w:val="20"/>
                <w:szCs w:val="20"/>
              </w:rPr>
              <w:t>2,130</w:t>
            </w:r>
          </w:p>
        </w:tc>
      </w:tr>
      <w:tr w:rsidR="00A85D38" w:rsidRPr="00451F2B" w14:paraId="664C3B00" w14:textId="77777777" w:rsidTr="00D2164F">
        <w:trPr>
          <w:trHeight w:val="360"/>
          <w:jc w:val="center"/>
        </w:trPr>
        <w:tc>
          <w:tcPr>
            <w:tcW w:w="1985" w:type="dxa"/>
            <w:vAlign w:val="center"/>
          </w:tcPr>
          <w:p w14:paraId="19991C6E" w14:textId="77777777" w:rsidR="00A85D38" w:rsidRPr="00451F2B" w:rsidRDefault="00A85D38" w:rsidP="00CC0456">
            <w:pPr>
              <w:jc w:val="center"/>
              <w:rPr>
                <w:sz w:val="20"/>
                <w:szCs w:val="20"/>
              </w:rPr>
            </w:pPr>
            <w:r>
              <w:rPr>
                <w:sz w:val="20"/>
                <w:szCs w:val="20"/>
              </w:rPr>
              <w:t>3</w:t>
            </w:r>
          </w:p>
        </w:tc>
        <w:tc>
          <w:tcPr>
            <w:tcW w:w="2240" w:type="dxa"/>
            <w:vAlign w:val="center"/>
          </w:tcPr>
          <w:p w14:paraId="21E45EBC" w14:textId="0BACD50F" w:rsidR="00A85D38" w:rsidRPr="00451F2B" w:rsidRDefault="00A85D38" w:rsidP="00CC0456">
            <w:pPr>
              <w:jc w:val="center"/>
              <w:rPr>
                <w:sz w:val="20"/>
                <w:szCs w:val="20"/>
              </w:rPr>
            </w:pPr>
            <w:r>
              <w:rPr>
                <w:sz w:val="20"/>
                <w:szCs w:val="20"/>
              </w:rPr>
              <w:t>$</w:t>
            </w:r>
            <w:r w:rsidR="0058204B">
              <w:rPr>
                <w:sz w:val="20"/>
                <w:szCs w:val="20"/>
              </w:rPr>
              <w:t>7,888</w:t>
            </w:r>
          </w:p>
        </w:tc>
        <w:tc>
          <w:tcPr>
            <w:tcW w:w="1980" w:type="dxa"/>
            <w:vAlign w:val="center"/>
          </w:tcPr>
          <w:p w14:paraId="511323AB" w14:textId="462B7075" w:rsidR="00A85D38" w:rsidRPr="00451F2B" w:rsidRDefault="00A85D38" w:rsidP="00CC0456">
            <w:pPr>
              <w:jc w:val="center"/>
              <w:rPr>
                <w:sz w:val="20"/>
                <w:szCs w:val="20"/>
              </w:rPr>
            </w:pPr>
            <w:r w:rsidRPr="00451F2B">
              <w:rPr>
                <w:sz w:val="20"/>
                <w:szCs w:val="20"/>
              </w:rPr>
              <w:t>$</w:t>
            </w:r>
            <w:r w:rsidR="0058204B">
              <w:rPr>
                <w:sz w:val="20"/>
                <w:szCs w:val="20"/>
              </w:rPr>
              <w:t>2,366</w:t>
            </w:r>
          </w:p>
        </w:tc>
      </w:tr>
      <w:tr w:rsidR="00A85D38" w:rsidRPr="00451F2B" w14:paraId="6E2BFD20" w14:textId="77777777" w:rsidTr="00D2164F">
        <w:trPr>
          <w:trHeight w:val="360"/>
          <w:jc w:val="center"/>
        </w:trPr>
        <w:tc>
          <w:tcPr>
            <w:tcW w:w="1985" w:type="dxa"/>
            <w:vAlign w:val="center"/>
          </w:tcPr>
          <w:p w14:paraId="15804DB6" w14:textId="77777777" w:rsidR="00A85D38" w:rsidRPr="00451F2B" w:rsidRDefault="00A85D38" w:rsidP="00CC0456">
            <w:pPr>
              <w:jc w:val="center"/>
              <w:rPr>
                <w:sz w:val="20"/>
                <w:szCs w:val="20"/>
              </w:rPr>
            </w:pPr>
            <w:r>
              <w:rPr>
                <w:sz w:val="20"/>
                <w:szCs w:val="20"/>
              </w:rPr>
              <w:t>4</w:t>
            </w:r>
          </w:p>
        </w:tc>
        <w:tc>
          <w:tcPr>
            <w:tcW w:w="2240" w:type="dxa"/>
            <w:vAlign w:val="center"/>
          </w:tcPr>
          <w:p w14:paraId="7632095E" w14:textId="1558AAC7" w:rsidR="00A85D38" w:rsidRPr="00451F2B" w:rsidRDefault="00A85D38" w:rsidP="00CC0456">
            <w:pPr>
              <w:jc w:val="center"/>
              <w:rPr>
                <w:sz w:val="20"/>
                <w:szCs w:val="20"/>
              </w:rPr>
            </w:pPr>
            <w:r>
              <w:rPr>
                <w:sz w:val="20"/>
                <w:szCs w:val="20"/>
              </w:rPr>
              <w:t>$</w:t>
            </w:r>
            <w:r w:rsidR="0058204B">
              <w:rPr>
                <w:sz w:val="20"/>
                <w:szCs w:val="20"/>
              </w:rPr>
              <w:t>8,521</w:t>
            </w:r>
          </w:p>
        </w:tc>
        <w:tc>
          <w:tcPr>
            <w:tcW w:w="1980" w:type="dxa"/>
            <w:vAlign w:val="center"/>
          </w:tcPr>
          <w:p w14:paraId="789E5B93" w14:textId="2142B557" w:rsidR="00A85D38" w:rsidRPr="00451F2B" w:rsidRDefault="00A85D38" w:rsidP="00CC0456">
            <w:pPr>
              <w:jc w:val="center"/>
              <w:rPr>
                <w:sz w:val="20"/>
                <w:szCs w:val="20"/>
              </w:rPr>
            </w:pPr>
            <w:r w:rsidRPr="00451F2B">
              <w:rPr>
                <w:sz w:val="20"/>
                <w:szCs w:val="20"/>
              </w:rPr>
              <w:t>$</w:t>
            </w:r>
            <w:r w:rsidR="0058204B">
              <w:rPr>
                <w:sz w:val="20"/>
                <w:szCs w:val="20"/>
              </w:rPr>
              <w:t>2,556</w:t>
            </w:r>
          </w:p>
        </w:tc>
      </w:tr>
    </w:tbl>
    <w:p w14:paraId="2C6DED7B" w14:textId="77777777" w:rsidR="00552405" w:rsidRPr="00282DEB" w:rsidRDefault="00552405" w:rsidP="00A85D38">
      <w:pPr>
        <w:jc w:val="center"/>
        <w:rPr>
          <w:i/>
          <w:sz w:val="30"/>
          <w:szCs w:val="30"/>
        </w:rPr>
      </w:pPr>
    </w:p>
    <w:p w14:paraId="4A7A7571" w14:textId="77777777" w:rsidR="007D2C49" w:rsidRDefault="00A85D38" w:rsidP="007D2C49">
      <w:pPr>
        <w:tabs>
          <w:tab w:val="left" w:pos="1260"/>
        </w:tabs>
        <w:ind w:left="1350" w:hanging="1350"/>
        <w:rPr>
          <w:rFonts w:ascii="Corbel" w:hAnsi="Corbel"/>
          <w:b/>
          <w:sz w:val="26"/>
          <w:szCs w:val="26"/>
        </w:rPr>
      </w:pPr>
      <w:r w:rsidRPr="007D2C49">
        <w:rPr>
          <w:rFonts w:ascii="Corbel" w:hAnsi="Corbel"/>
          <w:b/>
          <w:sz w:val="26"/>
          <w:szCs w:val="26"/>
        </w:rPr>
        <w:t>STEP FIVE: CALCULATE AFFORDABLE</w:t>
      </w:r>
      <w:r w:rsidR="007D2C49">
        <w:rPr>
          <w:rFonts w:ascii="Corbel" w:hAnsi="Corbel"/>
          <w:b/>
          <w:sz w:val="26"/>
          <w:szCs w:val="26"/>
        </w:rPr>
        <w:t xml:space="preserve"> HOUSING PRINCIPAL AND INTEREST</w:t>
      </w:r>
    </w:p>
    <w:p w14:paraId="61628972" w14:textId="548E4646" w:rsidR="00A85D38" w:rsidRPr="007D2C49" w:rsidRDefault="007D2C49" w:rsidP="007D2C49">
      <w:pPr>
        <w:tabs>
          <w:tab w:val="left" w:pos="1260"/>
        </w:tabs>
        <w:ind w:left="1350" w:hanging="1350"/>
        <w:rPr>
          <w:rFonts w:ascii="Corbel" w:hAnsi="Corbel"/>
          <w:b/>
          <w:sz w:val="26"/>
          <w:szCs w:val="26"/>
        </w:rPr>
      </w:pPr>
      <w:r>
        <w:rPr>
          <w:rFonts w:ascii="Corbel" w:hAnsi="Corbel"/>
          <w:b/>
          <w:sz w:val="26"/>
          <w:szCs w:val="26"/>
        </w:rPr>
        <w:tab/>
        <w:t xml:space="preserve"> </w:t>
      </w:r>
      <w:r w:rsidR="00A85D38" w:rsidRPr="007D2C49">
        <w:rPr>
          <w:rFonts w:ascii="Corbel" w:hAnsi="Corbel"/>
          <w:b/>
          <w:sz w:val="26"/>
          <w:szCs w:val="26"/>
        </w:rPr>
        <w:t>PAYMENT</w:t>
      </w:r>
    </w:p>
    <w:p w14:paraId="1C3FD0E1" w14:textId="77777777" w:rsidR="00A85D38" w:rsidRDefault="00A85D38" w:rsidP="00A85D38">
      <w:pPr>
        <w:rPr>
          <w:b/>
          <w:sz w:val="18"/>
          <w:szCs w:val="18"/>
        </w:rPr>
      </w:pPr>
    </w:p>
    <w:p w14:paraId="573D01E2" w14:textId="77777777" w:rsidR="00A85D38" w:rsidRPr="00282DEB" w:rsidRDefault="00A85D38" w:rsidP="00A85D38">
      <w:pPr>
        <w:rPr>
          <w:bCs/>
        </w:rPr>
      </w:pPr>
      <w:r w:rsidRPr="00282DEB">
        <w:t>Typical Housing Expenses such as Property Taxes, HOA Fees, Condo Fees and PMI Must be Subtracted from Maximum Housing Cost Allowance to Determine Amount Available for Mortgage Principal and Interest Payment (2</w:t>
      </w:r>
      <w:r>
        <w:t>2</w:t>
      </w:r>
      <w:r w:rsidRPr="00282DEB">
        <w:t>% of Housing Cost Allowance)</w:t>
      </w:r>
    </w:p>
    <w:p w14:paraId="5A7E1324" w14:textId="77777777" w:rsidR="00A85D38" w:rsidRPr="00282DEB" w:rsidRDefault="00A85D38" w:rsidP="00A85D38">
      <w:pPr>
        <w:jc w:val="center"/>
        <w:rPr>
          <w:b/>
          <w:sz w:val="24"/>
          <w:szCs w:val="24"/>
        </w:rPr>
      </w:pPr>
    </w:p>
    <w:tbl>
      <w:tblPr>
        <w:tblStyle w:val="TableGrid"/>
        <w:tblW w:w="7465" w:type="dxa"/>
        <w:jc w:val="center"/>
        <w:tblLook w:val="04A0" w:firstRow="1" w:lastRow="0" w:firstColumn="1" w:lastColumn="0" w:noHBand="0" w:noVBand="1"/>
      </w:tblPr>
      <w:tblGrid>
        <w:gridCol w:w="1249"/>
        <w:gridCol w:w="1986"/>
        <w:gridCol w:w="1890"/>
        <w:gridCol w:w="2340"/>
      </w:tblGrid>
      <w:tr w:rsidR="00A85D38" w:rsidRPr="00282DEB" w14:paraId="5EAE0E5D" w14:textId="77777777" w:rsidTr="00D2164F">
        <w:trPr>
          <w:trHeight w:val="360"/>
          <w:jc w:val="center"/>
        </w:trPr>
        <w:tc>
          <w:tcPr>
            <w:tcW w:w="1249" w:type="dxa"/>
            <w:shd w:val="clear" w:color="auto" w:fill="F2F2F2" w:themeFill="background1" w:themeFillShade="F2"/>
            <w:vAlign w:val="center"/>
          </w:tcPr>
          <w:p w14:paraId="31B13654" w14:textId="77777777" w:rsidR="00A85D38" w:rsidRPr="00282DEB" w:rsidRDefault="00A85D38" w:rsidP="00CC0456">
            <w:pPr>
              <w:jc w:val="center"/>
              <w:rPr>
                <w:b/>
                <w:sz w:val="20"/>
                <w:szCs w:val="20"/>
              </w:rPr>
            </w:pPr>
            <w:r w:rsidRPr="00282DEB">
              <w:rPr>
                <w:b/>
                <w:sz w:val="20"/>
                <w:szCs w:val="20"/>
              </w:rPr>
              <w:t>Number of Bedrooms</w:t>
            </w:r>
          </w:p>
        </w:tc>
        <w:tc>
          <w:tcPr>
            <w:tcW w:w="1986" w:type="dxa"/>
            <w:shd w:val="clear" w:color="auto" w:fill="F2F2F2" w:themeFill="background1" w:themeFillShade="F2"/>
            <w:vAlign w:val="center"/>
          </w:tcPr>
          <w:p w14:paraId="767DFDB8" w14:textId="77777777" w:rsidR="00A85D38" w:rsidRPr="00282DEB" w:rsidRDefault="00A85D38" w:rsidP="00CC0456">
            <w:pPr>
              <w:jc w:val="center"/>
              <w:rPr>
                <w:b/>
                <w:sz w:val="20"/>
                <w:szCs w:val="20"/>
              </w:rPr>
            </w:pPr>
            <w:r w:rsidRPr="00282DEB">
              <w:rPr>
                <w:b/>
                <w:sz w:val="20"/>
                <w:szCs w:val="20"/>
              </w:rPr>
              <w:t>Maximum Monthly Housing Cost Allowance</w:t>
            </w:r>
          </w:p>
        </w:tc>
        <w:tc>
          <w:tcPr>
            <w:tcW w:w="1890" w:type="dxa"/>
            <w:shd w:val="clear" w:color="auto" w:fill="F2F2F2" w:themeFill="background1" w:themeFillShade="F2"/>
            <w:vAlign w:val="center"/>
          </w:tcPr>
          <w:p w14:paraId="5A7B6771" w14:textId="77777777" w:rsidR="00A85D38" w:rsidRPr="00282DEB" w:rsidRDefault="00A85D38" w:rsidP="00CC0456">
            <w:pPr>
              <w:jc w:val="center"/>
              <w:rPr>
                <w:b/>
                <w:sz w:val="20"/>
                <w:szCs w:val="20"/>
              </w:rPr>
            </w:pPr>
            <w:r w:rsidRPr="00282DEB">
              <w:rPr>
                <w:b/>
                <w:sz w:val="20"/>
                <w:szCs w:val="20"/>
              </w:rPr>
              <w:t>Housing Expenses (2</w:t>
            </w:r>
            <w:r>
              <w:rPr>
                <w:b/>
                <w:sz w:val="20"/>
                <w:szCs w:val="20"/>
              </w:rPr>
              <w:t>2</w:t>
            </w:r>
            <w:r w:rsidRPr="00282DEB">
              <w:rPr>
                <w:b/>
                <w:sz w:val="20"/>
                <w:szCs w:val="20"/>
              </w:rPr>
              <w:t>% of Housing Cost Allowance)</w:t>
            </w:r>
          </w:p>
        </w:tc>
        <w:tc>
          <w:tcPr>
            <w:tcW w:w="2340" w:type="dxa"/>
            <w:shd w:val="clear" w:color="auto" w:fill="F2F2F2" w:themeFill="background1" w:themeFillShade="F2"/>
            <w:vAlign w:val="center"/>
          </w:tcPr>
          <w:p w14:paraId="4B3C2D98" w14:textId="77777777" w:rsidR="00A85D38" w:rsidRPr="00282DEB" w:rsidRDefault="00A85D38" w:rsidP="00CC0456">
            <w:pPr>
              <w:jc w:val="center"/>
              <w:rPr>
                <w:b/>
                <w:sz w:val="20"/>
                <w:szCs w:val="20"/>
              </w:rPr>
            </w:pPr>
            <w:r w:rsidRPr="00282DEB">
              <w:rPr>
                <w:b/>
                <w:sz w:val="20"/>
                <w:szCs w:val="20"/>
              </w:rPr>
              <w:t>Income Available for Mortgage Principal and Interest Payment</w:t>
            </w:r>
          </w:p>
        </w:tc>
      </w:tr>
      <w:tr w:rsidR="00A85D38" w:rsidRPr="00282DEB" w14:paraId="31824C8A" w14:textId="77777777" w:rsidTr="00D2164F">
        <w:trPr>
          <w:trHeight w:val="360"/>
          <w:jc w:val="center"/>
        </w:trPr>
        <w:tc>
          <w:tcPr>
            <w:tcW w:w="1249" w:type="dxa"/>
            <w:vAlign w:val="center"/>
          </w:tcPr>
          <w:p w14:paraId="5669E013" w14:textId="77777777" w:rsidR="00A85D38" w:rsidRPr="00282DEB" w:rsidRDefault="00A85D38" w:rsidP="00CC0456">
            <w:pPr>
              <w:jc w:val="center"/>
              <w:rPr>
                <w:sz w:val="20"/>
                <w:szCs w:val="20"/>
              </w:rPr>
            </w:pPr>
            <w:r w:rsidRPr="00282DEB">
              <w:rPr>
                <w:sz w:val="20"/>
                <w:szCs w:val="20"/>
              </w:rPr>
              <w:t>1</w:t>
            </w:r>
          </w:p>
        </w:tc>
        <w:tc>
          <w:tcPr>
            <w:tcW w:w="1986" w:type="dxa"/>
            <w:vAlign w:val="center"/>
          </w:tcPr>
          <w:p w14:paraId="36C60E06" w14:textId="4FADA506" w:rsidR="00A85D38" w:rsidRPr="00282DEB" w:rsidRDefault="00A85D38" w:rsidP="00CC0456">
            <w:pPr>
              <w:jc w:val="center"/>
              <w:rPr>
                <w:sz w:val="20"/>
                <w:szCs w:val="20"/>
              </w:rPr>
            </w:pPr>
            <w:r>
              <w:rPr>
                <w:sz w:val="20"/>
                <w:szCs w:val="20"/>
              </w:rPr>
              <w:t>$1,</w:t>
            </w:r>
            <w:r w:rsidR="0058204B">
              <w:rPr>
                <w:sz w:val="20"/>
                <w:szCs w:val="20"/>
              </w:rPr>
              <w:t>894</w:t>
            </w:r>
          </w:p>
        </w:tc>
        <w:tc>
          <w:tcPr>
            <w:tcW w:w="1890" w:type="dxa"/>
            <w:vAlign w:val="center"/>
          </w:tcPr>
          <w:p w14:paraId="6714BCD7" w14:textId="710B9575" w:rsidR="00A85D38" w:rsidRPr="00282DEB" w:rsidRDefault="00A85D38" w:rsidP="00CC0456">
            <w:pPr>
              <w:jc w:val="center"/>
              <w:rPr>
                <w:sz w:val="20"/>
                <w:szCs w:val="20"/>
              </w:rPr>
            </w:pPr>
            <w:r>
              <w:rPr>
                <w:sz w:val="20"/>
                <w:szCs w:val="20"/>
              </w:rPr>
              <w:t>$</w:t>
            </w:r>
            <w:r w:rsidR="0058204B">
              <w:rPr>
                <w:sz w:val="20"/>
                <w:szCs w:val="20"/>
              </w:rPr>
              <w:t>417</w:t>
            </w:r>
          </w:p>
        </w:tc>
        <w:tc>
          <w:tcPr>
            <w:tcW w:w="2340" w:type="dxa"/>
            <w:vAlign w:val="center"/>
          </w:tcPr>
          <w:p w14:paraId="219D7AF2" w14:textId="1AEF49F3" w:rsidR="00A85D38" w:rsidRPr="00282DEB" w:rsidRDefault="00A85D38" w:rsidP="00CC0456">
            <w:pPr>
              <w:jc w:val="center"/>
              <w:rPr>
                <w:sz w:val="20"/>
                <w:szCs w:val="20"/>
              </w:rPr>
            </w:pPr>
            <w:r>
              <w:rPr>
                <w:sz w:val="20"/>
                <w:szCs w:val="20"/>
              </w:rPr>
              <w:t>$</w:t>
            </w:r>
            <w:r w:rsidR="0058204B">
              <w:rPr>
                <w:sz w:val="20"/>
                <w:szCs w:val="20"/>
              </w:rPr>
              <w:t>1,477</w:t>
            </w:r>
          </w:p>
        </w:tc>
      </w:tr>
      <w:tr w:rsidR="00A85D38" w:rsidRPr="00282DEB" w14:paraId="75E4BA8A" w14:textId="77777777" w:rsidTr="00D2164F">
        <w:trPr>
          <w:trHeight w:val="360"/>
          <w:jc w:val="center"/>
        </w:trPr>
        <w:tc>
          <w:tcPr>
            <w:tcW w:w="1249" w:type="dxa"/>
            <w:vAlign w:val="center"/>
          </w:tcPr>
          <w:p w14:paraId="6EBF0D91" w14:textId="77777777" w:rsidR="00A85D38" w:rsidRPr="00282DEB" w:rsidRDefault="00A85D38" w:rsidP="00CC0456">
            <w:pPr>
              <w:jc w:val="center"/>
              <w:rPr>
                <w:sz w:val="20"/>
                <w:szCs w:val="20"/>
              </w:rPr>
            </w:pPr>
            <w:r w:rsidRPr="00282DEB">
              <w:rPr>
                <w:sz w:val="20"/>
                <w:szCs w:val="20"/>
              </w:rPr>
              <w:t>2</w:t>
            </w:r>
          </w:p>
        </w:tc>
        <w:tc>
          <w:tcPr>
            <w:tcW w:w="1986" w:type="dxa"/>
            <w:vAlign w:val="center"/>
          </w:tcPr>
          <w:p w14:paraId="32785FCC" w14:textId="754C1EB4" w:rsidR="00A85D38" w:rsidRPr="00282DEB" w:rsidRDefault="00A85D38" w:rsidP="00CC0456">
            <w:pPr>
              <w:jc w:val="center"/>
              <w:rPr>
                <w:sz w:val="20"/>
                <w:szCs w:val="20"/>
              </w:rPr>
            </w:pPr>
            <w:r>
              <w:rPr>
                <w:sz w:val="20"/>
                <w:szCs w:val="20"/>
              </w:rPr>
              <w:t>$</w:t>
            </w:r>
            <w:r w:rsidR="0058204B">
              <w:rPr>
                <w:sz w:val="20"/>
                <w:szCs w:val="20"/>
              </w:rPr>
              <w:t>2,130</w:t>
            </w:r>
          </w:p>
        </w:tc>
        <w:tc>
          <w:tcPr>
            <w:tcW w:w="1890" w:type="dxa"/>
            <w:vAlign w:val="center"/>
          </w:tcPr>
          <w:p w14:paraId="4EFFF325" w14:textId="7ADDD102" w:rsidR="00A85D38" w:rsidRPr="00282DEB" w:rsidRDefault="00A85D38" w:rsidP="00CC0456">
            <w:pPr>
              <w:jc w:val="center"/>
              <w:rPr>
                <w:sz w:val="20"/>
                <w:szCs w:val="20"/>
              </w:rPr>
            </w:pPr>
            <w:r>
              <w:rPr>
                <w:sz w:val="20"/>
                <w:szCs w:val="20"/>
              </w:rPr>
              <w:t>$</w:t>
            </w:r>
            <w:r w:rsidR="0058204B">
              <w:rPr>
                <w:sz w:val="20"/>
                <w:szCs w:val="20"/>
              </w:rPr>
              <w:t>46</w:t>
            </w:r>
            <w:r w:rsidR="00357331">
              <w:rPr>
                <w:sz w:val="20"/>
                <w:szCs w:val="20"/>
              </w:rPr>
              <w:t>9</w:t>
            </w:r>
          </w:p>
        </w:tc>
        <w:tc>
          <w:tcPr>
            <w:tcW w:w="2340" w:type="dxa"/>
            <w:vAlign w:val="center"/>
          </w:tcPr>
          <w:p w14:paraId="4C1FAAB5" w14:textId="11DD3B8F" w:rsidR="00A85D38" w:rsidRPr="00282DEB" w:rsidRDefault="00A85D38" w:rsidP="00CC0456">
            <w:pPr>
              <w:jc w:val="center"/>
              <w:rPr>
                <w:sz w:val="20"/>
                <w:szCs w:val="20"/>
              </w:rPr>
            </w:pPr>
            <w:r>
              <w:rPr>
                <w:sz w:val="20"/>
                <w:szCs w:val="20"/>
              </w:rPr>
              <w:t>$</w:t>
            </w:r>
            <w:r w:rsidR="0058204B">
              <w:rPr>
                <w:sz w:val="20"/>
                <w:szCs w:val="20"/>
              </w:rPr>
              <w:t>1,66</w:t>
            </w:r>
            <w:r w:rsidR="00357331">
              <w:rPr>
                <w:sz w:val="20"/>
                <w:szCs w:val="20"/>
              </w:rPr>
              <w:t>1</w:t>
            </w:r>
          </w:p>
        </w:tc>
      </w:tr>
      <w:tr w:rsidR="00A85D38" w:rsidRPr="00282DEB" w14:paraId="1F999809" w14:textId="77777777" w:rsidTr="00D2164F">
        <w:trPr>
          <w:trHeight w:val="360"/>
          <w:jc w:val="center"/>
        </w:trPr>
        <w:tc>
          <w:tcPr>
            <w:tcW w:w="1249" w:type="dxa"/>
            <w:vAlign w:val="center"/>
          </w:tcPr>
          <w:p w14:paraId="62D549B3" w14:textId="77777777" w:rsidR="00A85D38" w:rsidRPr="00282DEB" w:rsidRDefault="00A85D38" w:rsidP="00CC0456">
            <w:pPr>
              <w:jc w:val="center"/>
              <w:rPr>
                <w:sz w:val="20"/>
                <w:szCs w:val="20"/>
              </w:rPr>
            </w:pPr>
            <w:r w:rsidRPr="00282DEB">
              <w:rPr>
                <w:sz w:val="20"/>
                <w:szCs w:val="20"/>
              </w:rPr>
              <w:t>3</w:t>
            </w:r>
          </w:p>
        </w:tc>
        <w:tc>
          <w:tcPr>
            <w:tcW w:w="1986" w:type="dxa"/>
            <w:vAlign w:val="center"/>
          </w:tcPr>
          <w:p w14:paraId="2B7944C0" w14:textId="30E636E8" w:rsidR="00A85D38" w:rsidRPr="00282DEB" w:rsidRDefault="00A85D38" w:rsidP="00CC0456">
            <w:pPr>
              <w:jc w:val="center"/>
              <w:rPr>
                <w:sz w:val="20"/>
                <w:szCs w:val="20"/>
              </w:rPr>
            </w:pPr>
            <w:r>
              <w:rPr>
                <w:sz w:val="20"/>
                <w:szCs w:val="20"/>
              </w:rPr>
              <w:t>$</w:t>
            </w:r>
            <w:r w:rsidR="0058204B">
              <w:rPr>
                <w:sz w:val="20"/>
                <w:szCs w:val="20"/>
              </w:rPr>
              <w:t>2,366</w:t>
            </w:r>
          </w:p>
        </w:tc>
        <w:tc>
          <w:tcPr>
            <w:tcW w:w="1890" w:type="dxa"/>
            <w:vAlign w:val="center"/>
          </w:tcPr>
          <w:p w14:paraId="664F42BA" w14:textId="4431CB5A" w:rsidR="00A85D38" w:rsidRPr="00282DEB" w:rsidRDefault="00A85D38" w:rsidP="00CC0456">
            <w:pPr>
              <w:jc w:val="center"/>
              <w:rPr>
                <w:sz w:val="20"/>
                <w:szCs w:val="20"/>
              </w:rPr>
            </w:pPr>
            <w:r>
              <w:rPr>
                <w:sz w:val="20"/>
                <w:szCs w:val="20"/>
              </w:rPr>
              <w:t>$</w:t>
            </w:r>
            <w:r w:rsidR="0058204B">
              <w:rPr>
                <w:sz w:val="20"/>
                <w:szCs w:val="20"/>
              </w:rPr>
              <w:t>521</w:t>
            </w:r>
          </w:p>
        </w:tc>
        <w:tc>
          <w:tcPr>
            <w:tcW w:w="2340" w:type="dxa"/>
            <w:vAlign w:val="center"/>
          </w:tcPr>
          <w:p w14:paraId="09BFD6A1" w14:textId="585CCF6D" w:rsidR="00A85D38" w:rsidRPr="00282DEB" w:rsidRDefault="00A85D38" w:rsidP="00CC0456">
            <w:pPr>
              <w:jc w:val="center"/>
              <w:rPr>
                <w:sz w:val="20"/>
                <w:szCs w:val="20"/>
              </w:rPr>
            </w:pPr>
            <w:r>
              <w:rPr>
                <w:sz w:val="20"/>
                <w:szCs w:val="20"/>
              </w:rPr>
              <w:t>$1,</w:t>
            </w:r>
            <w:r w:rsidR="0058204B">
              <w:rPr>
                <w:sz w:val="20"/>
                <w:szCs w:val="20"/>
              </w:rPr>
              <w:t>845</w:t>
            </w:r>
          </w:p>
        </w:tc>
      </w:tr>
      <w:tr w:rsidR="00A85D38" w:rsidRPr="00282DEB" w14:paraId="3AF6A618" w14:textId="77777777" w:rsidTr="00D2164F">
        <w:trPr>
          <w:trHeight w:val="360"/>
          <w:jc w:val="center"/>
        </w:trPr>
        <w:tc>
          <w:tcPr>
            <w:tcW w:w="1249" w:type="dxa"/>
            <w:vAlign w:val="center"/>
          </w:tcPr>
          <w:p w14:paraId="626A57ED" w14:textId="77777777" w:rsidR="00A85D38" w:rsidRPr="00282DEB" w:rsidRDefault="00A85D38" w:rsidP="00CC0456">
            <w:pPr>
              <w:jc w:val="center"/>
              <w:rPr>
                <w:sz w:val="20"/>
                <w:szCs w:val="20"/>
              </w:rPr>
            </w:pPr>
            <w:r w:rsidRPr="00282DEB">
              <w:rPr>
                <w:sz w:val="20"/>
                <w:szCs w:val="20"/>
              </w:rPr>
              <w:t>4</w:t>
            </w:r>
          </w:p>
        </w:tc>
        <w:tc>
          <w:tcPr>
            <w:tcW w:w="1986" w:type="dxa"/>
            <w:vAlign w:val="center"/>
          </w:tcPr>
          <w:p w14:paraId="24BC03F4" w14:textId="596FB771" w:rsidR="00A85D38" w:rsidRPr="00282DEB" w:rsidRDefault="00A85D38" w:rsidP="00CC0456">
            <w:pPr>
              <w:jc w:val="center"/>
              <w:rPr>
                <w:sz w:val="20"/>
                <w:szCs w:val="20"/>
              </w:rPr>
            </w:pPr>
            <w:r>
              <w:rPr>
                <w:sz w:val="20"/>
                <w:szCs w:val="20"/>
              </w:rPr>
              <w:t>$</w:t>
            </w:r>
            <w:r w:rsidR="0058204B">
              <w:rPr>
                <w:sz w:val="20"/>
                <w:szCs w:val="20"/>
              </w:rPr>
              <w:t>2,556</w:t>
            </w:r>
          </w:p>
        </w:tc>
        <w:tc>
          <w:tcPr>
            <w:tcW w:w="1890" w:type="dxa"/>
            <w:vAlign w:val="center"/>
          </w:tcPr>
          <w:p w14:paraId="5BF06DD9" w14:textId="315778C3" w:rsidR="00A85D38" w:rsidRPr="00282DEB" w:rsidRDefault="00A85D38" w:rsidP="00CC0456">
            <w:pPr>
              <w:jc w:val="center"/>
              <w:rPr>
                <w:sz w:val="20"/>
                <w:szCs w:val="20"/>
              </w:rPr>
            </w:pPr>
            <w:r>
              <w:rPr>
                <w:sz w:val="20"/>
                <w:szCs w:val="20"/>
              </w:rPr>
              <w:t>$</w:t>
            </w:r>
            <w:r w:rsidR="0058204B">
              <w:rPr>
                <w:sz w:val="20"/>
                <w:szCs w:val="20"/>
              </w:rPr>
              <w:t>562</w:t>
            </w:r>
          </w:p>
        </w:tc>
        <w:tc>
          <w:tcPr>
            <w:tcW w:w="2340" w:type="dxa"/>
            <w:vAlign w:val="center"/>
          </w:tcPr>
          <w:p w14:paraId="31B2FF3D" w14:textId="02B669EC" w:rsidR="00A85D38" w:rsidRPr="00282DEB" w:rsidRDefault="00A85D38" w:rsidP="00CC0456">
            <w:pPr>
              <w:jc w:val="center"/>
              <w:rPr>
                <w:sz w:val="20"/>
                <w:szCs w:val="20"/>
              </w:rPr>
            </w:pPr>
            <w:r>
              <w:rPr>
                <w:sz w:val="20"/>
                <w:szCs w:val="20"/>
              </w:rPr>
              <w:t>$1,</w:t>
            </w:r>
            <w:r w:rsidR="0058204B">
              <w:rPr>
                <w:sz w:val="20"/>
                <w:szCs w:val="20"/>
              </w:rPr>
              <w:t>994</w:t>
            </w:r>
          </w:p>
        </w:tc>
      </w:tr>
    </w:tbl>
    <w:p w14:paraId="6DA3772E" w14:textId="77777777" w:rsidR="00552405" w:rsidRDefault="00552405" w:rsidP="00A85D38">
      <w:pPr>
        <w:jc w:val="center"/>
        <w:rPr>
          <w:sz w:val="30"/>
          <w:szCs w:val="30"/>
        </w:rPr>
      </w:pPr>
    </w:p>
    <w:p w14:paraId="3E0BAE64" w14:textId="77777777" w:rsidR="00A85D38" w:rsidRPr="00C41963" w:rsidRDefault="00A85D38" w:rsidP="00A85D38">
      <w:pPr>
        <w:rPr>
          <w:rFonts w:ascii="Corbel" w:hAnsi="Corbel"/>
          <w:b/>
          <w:sz w:val="26"/>
          <w:szCs w:val="26"/>
        </w:rPr>
      </w:pPr>
      <w:r w:rsidRPr="00C41963">
        <w:rPr>
          <w:rFonts w:ascii="Corbel" w:hAnsi="Corbel"/>
          <w:b/>
          <w:sz w:val="26"/>
          <w:szCs w:val="26"/>
        </w:rPr>
        <w:t>STEP SIX: CALCULATE MAXIMUM MORTGAGE AMOUNT</w:t>
      </w:r>
    </w:p>
    <w:p w14:paraId="612DF4CA" w14:textId="77777777" w:rsidR="00A85D38" w:rsidRPr="00C41963" w:rsidRDefault="00A85D38" w:rsidP="00A85D38">
      <w:pPr>
        <w:rPr>
          <w:sz w:val="18"/>
          <w:szCs w:val="18"/>
        </w:rPr>
      </w:pPr>
    </w:p>
    <w:p w14:paraId="3B14C7A5" w14:textId="1B96EFC4" w:rsidR="00A85D38" w:rsidRPr="00207CC7" w:rsidRDefault="00A85D38" w:rsidP="00A85D38">
      <w:r w:rsidRPr="00207CC7">
        <w:t>Calculate Mortgage Amount Based on Total Income Available for Principal and Interest Payment Using: Mortgage Interest –</w:t>
      </w:r>
      <w:r w:rsidR="0058204B">
        <w:t>6.45</w:t>
      </w:r>
      <w:r w:rsidRPr="00207CC7">
        <w:t>%</w:t>
      </w:r>
    </w:p>
    <w:p w14:paraId="273BCBC0" w14:textId="77777777" w:rsidR="00A85D38" w:rsidRPr="00207CC7" w:rsidRDefault="00A85D38" w:rsidP="00A85D38">
      <w:r w:rsidRPr="00207CC7">
        <w:t>Mortgage Term – 30 years*</w:t>
      </w:r>
    </w:p>
    <w:p w14:paraId="3C04512D" w14:textId="77777777" w:rsidR="00A85D38" w:rsidRPr="00BD2D9C" w:rsidRDefault="00A85D38" w:rsidP="00A85D38">
      <w:pPr>
        <w:rPr>
          <w:b/>
          <w:color w:val="C00000"/>
          <w:sz w:val="24"/>
          <w:szCs w:val="24"/>
        </w:rPr>
      </w:pPr>
    </w:p>
    <w:tbl>
      <w:tblPr>
        <w:tblStyle w:val="TableGrid"/>
        <w:tblW w:w="7915" w:type="dxa"/>
        <w:jc w:val="center"/>
        <w:tblLook w:val="04A0" w:firstRow="1" w:lastRow="0" w:firstColumn="1" w:lastColumn="0" w:noHBand="0" w:noVBand="1"/>
      </w:tblPr>
      <w:tblGrid>
        <w:gridCol w:w="2610"/>
        <w:gridCol w:w="3145"/>
        <w:gridCol w:w="2160"/>
      </w:tblGrid>
      <w:tr w:rsidR="00A85D38" w:rsidRPr="00BD2D9C" w14:paraId="05DDB1EE" w14:textId="77777777" w:rsidTr="006F7DE6">
        <w:trPr>
          <w:trHeight w:val="360"/>
          <w:jc w:val="center"/>
        </w:trPr>
        <w:tc>
          <w:tcPr>
            <w:tcW w:w="2610" w:type="dxa"/>
            <w:shd w:val="clear" w:color="auto" w:fill="F2F2F2" w:themeFill="background1" w:themeFillShade="F2"/>
            <w:vAlign w:val="center"/>
          </w:tcPr>
          <w:p w14:paraId="0CAB0FAE" w14:textId="77777777" w:rsidR="00A85D38" w:rsidRPr="00BD2D9C" w:rsidRDefault="00A85D38" w:rsidP="00CC0456">
            <w:pPr>
              <w:jc w:val="center"/>
              <w:rPr>
                <w:b/>
                <w:sz w:val="20"/>
                <w:szCs w:val="20"/>
              </w:rPr>
            </w:pPr>
            <w:r w:rsidRPr="00BD2D9C">
              <w:rPr>
                <w:b/>
                <w:sz w:val="20"/>
                <w:szCs w:val="20"/>
              </w:rPr>
              <w:t>Number of Bedrooms</w:t>
            </w:r>
          </w:p>
        </w:tc>
        <w:tc>
          <w:tcPr>
            <w:tcW w:w="3145" w:type="dxa"/>
            <w:shd w:val="clear" w:color="auto" w:fill="F2F2F2" w:themeFill="background1" w:themeFillShade="F2"/>
            <w:vAlign w:val="center"/>
          </w:tcPr>
          <w:p w14:paraId="19854202" w14:textId="77777777" w:rsidR="00A85D38" w:rsidRPr="00BD2D9C" w:rsidRDefault="00A85D38" w:rsidP="00CC0456">
            <w:pPr>
              <w:jc w:val="center"/>
              <w:rPr>
                <w:b/>
                <w:sz w:val="20"/>
                <w:szCs w:val="20"/>
              </w:rPr>
            </w:pPr>
            <w:r w:rsidRPr="00BD2D9C">
              <w:rPr>
                <w:b/>
                <w:sz w:val="20"/>
                <w:szCs w:val="20"/>
              </w:rPr>
              <w:t>Income Available for Mortgage Principal and Interest Payment</w:t>
            </w:r>
          </w:p>
        </w:tc>
        <w:tc>
          <w:tcPr>
            <w:tcW w:w="2160" w:type="dxa"/>
            <w:shd w:val="clear" w:color="auto" w:fill="F2F2F2" w:themeFill="background1" w:themeFillShade="F2"/>
            <w:vAlign w:val="center"/>
          </w:tcPr>
          <w:p w14:paraId="2841F842" w14:textId="77777777" w:rsidR="00A85D38" w:rsidRPr="00207CC7" w:rsidRDefault="00A85D38" w:rsidP="00CC0456">
            <w:pPr>
              <w:jc w:val="center"/>
              <w:rPr>
                <w:b/>
                <w:sz w:val="20"/>
                <w:szCs w:val="20"/>
              </w:rPr>
            </w:pPr>
            <w:r w:rsidRPr="00207CC7">
              <w:rPr>
                <w:b/>
                <w:sz w:val="20"/>
                <w:szCs w:val="20"/>
              </w:rPr>
              <w:t>Maximum Mortgage Amount</w:t>
            </w:r>
          </w:p>
        </w:tc>
      </w:tr>
      <w:tr w:rsidR="00A85D38" w:rsidRPr="00BD2D9C" w14:paraId="7F23FBA6" w14:textId="77777777" w:rsidTr="006F7DE6">
        <w:trPr>
          <w:trHeight w:val="360"/>
          <w:jc w:val="center"/>
        </w:trPr>
        <w:tc>
          <w:tcPr>
            <w:tcW w:w="2610" w:type="dxa"/>
            <w:vAlign w:val="center"/>
          </w:tcPr>
          <w:p w14:paraId="24FFA28C" w14:textId="77777777" w:rsidR="00A85D38" w:rsidRPr="00BD2D9C" w:rsidRDefault="00A85D38" w:rsidP="00CC0456">
            <w:pPr>
              <w:jc w:val="center"/>
              <w:rPr>
                <w:sz w:val="20"/>
                <w:szCs w:val="20"/>
              </w:rPr>
            </w:pPr>
            <w:r w:rsidRPr="00BD2D9C">
              <w:rPr>
                <w:sz w:val="20"/>
                <w:szCs w:val="20"/>
              </w:rPr>
              <w:t>1</w:t>
            </w:r>
          </w:p>
        </w:tc>
        <w:tc>
          <w:tcPr>
            <w:tcW w:w="3145" w:type="dxa"/>
            <w:vAlign w:val="center"/>
          </w:tcPr>
          <w:p w14:paraId="7E0B9957" w14:textId="64291ECC" w:rsidR="00A85D38" w:rsidRPr="00BD2D9C" w:rsidRDefault="00A85D38" w:rsidP="00CC0456">
            <w:pPr>
              <w:jc w:val="center"/>
              <w:rPr>
                <w:sz w:val="20"/>
                <w:szCs w:val="20"/>
              </w:rPr>
            </w:pPr>
            <w:r>
              <w:rPr>
                <w:sz w:val="20"/>
                <w:szCs w:val="20"/>
              </w:rPr>
              <w:t>$1,</w:t>
            </w:r>
            <w:r w:rsidR="0058204B">
              <w:rPr>
                <w:sz w:val="20"/>
                <w:szCs w:val="20"/>
              </w:rPr>
              <w:t>447</w:t>
            </w:r>
          </w:p>
        </w:tc>
        <w:tc>
          <w:tcPr>
            <w:tcW w:w="2160" w:type="dxa"/>
            <w:vAlign w:val="center"/>
          </w:tcPr>
          <w:p w14:paraId="1E069F8F" w14:textId="1CA08E3A" w:rsidR="00A85D38" w:rsidRPr="00207CC7" w:rsidRDefault="00A85D38" w:rsidP="00CC0456">
            <w:pPr>
              <w:jc w:val="center"/>
              <w:rPr>
                <w:sz w:val="20"/>
                <w:szCs w:val="20"/>
              </w:rPr>
            </w:pPr>
            <w:r>
              <w:rPr>
                <w:sz w:val="20"/>
                <w:szCs w:val="20"/>
              </w:rPr>
              <w:t>$2</w:t>
            </w:r>
            <w:r w:rsidR="0058204B">
              <w:rPr>
                <w:sz w:val="20"/>
                <w:szCs w:val="20"/>
              </w:rPr>
              <w:t>34,898</w:t>
            </w:r>
          </w:p>
        </w:tc>
      </w:tr>
      <w:tr w:rsidR="00A85D38" w:rsidRPr="00BD2D9C" w14:paraId="606E7313" w14:textId="77777777" w:rsidTr="006F7DE6">
        <w:trPr>
          <w:trHeight w:val="360"/>
          <w:jc w:val="center"/>
        </w:trPr>
        <w:tc>
          <w:tcPr>
            <w:tcW w:w="2610" w:type="dxa"/>
            <w:vAlign w:val="center"/>
          </w:tcPr>
          <w:p w14:paraId="227A132E" w14:textId="77777777" w:rsidR="00A85D38" w:rsidRPr="00BD2D9C" w:rsidRDefault="00A85D38" w:rsidP="00CC0456">
            <w:pPr>
              <w:jc w:val="center"/>
              <w:rPr>
                <w:sz w:val="20"/>
                <w:szCs w:val="20"/>
              </w:rPr>
            </w:pPr>
            <w:r w:rsidRPr="00BD2D9C">
              <w:rPr>
                <w:sz w:val="20"/>
                <w:szCs w:val="20"/>
              </w:rPr>
              <w:t>2</w:t>
            </w:r>
          </w:p>
        </w:tc>
        <w:tc>
          <w:tcPr>
            <w:tcW w:w="3145" w:type="dxa"/>
            <w:vAlign w:val="center"/>
          </w:tcPr>
          <w:p w14:paraId="403E9990" w14:textId="11D58067" w:rsidR="00A85D38" w:rsidRPr="00BD2D9C" w:rsidRDefault="00A85D38" w:rsidP="00CC0456">
            <w:pPr>
              <w:jc w:val="center"/>
              <w:rPr>
                <w:sz w:val="20"/>
                <w:szCs w:val="20"/>
              </w:rPr>
            </w:pPr>
            <w:r>
              <w:rPr>
                <w:sz w:val="20"/>
                <w:szCs w:val="20"/>
              </w:rPr>
              <w:t>$1,</w:t>
            </w:r>
            <w:r w:rsidR="0058204B">
              <w:rPr>
                <w:sz w:val="20"/>
                <w:szCs w:val="20"/>
              </w:rPr>
              <w:t>661</w:t>
            </w:r>
          </w:p>
        </w:tc>
        <w:tc>
          <w:tcPr>
            <w:tcW w:w="2160" w:type="dxa"/>
            <w:vAlign w:val="center"/>
          </w:tcPr>
          <w:p w14:paraId="3C95F896" w14:textId="3DE92373" w:rsidR="00A85D38" w:rsidRPr="00207CC7" w:rsidRDefault="00A85D38" w:rsidP="00CC0456">
            <w:pPr>
              <w:jc w:val="center"/>
              <w:rPr>
                <w:sz w:val="20"/>
                <w:szCs w:val="20"/>
              </w:rPr>
            </w:pPr>
            <w:r>
              <w:rPr>
                <w:sz w:val="20"/>
                <w:szCs w:val="20"/>
              </w:rPr>
              <w:t>$</w:t>
            </w:r>
            <w:r w:rsidR="0058204B">
              <w:rPr>
                <w:sz w:val="20"/>
                <w:szCs w:val="20"/>
              </w:rPr>
              <w:t>264,161</w:t>
            </w:r>
          </w:p>
        </w:tc>
      </w:tr>
      <w:tr w:rsidR="00A85D38" w:rsidRPr="00BD2D9C" w14:paraId="49BCAA4D" w14:textId="77777777" w:rsidTr="006F7DE6">
        <w:trPr>
          <w:trHeight w:val="360"/>
          <w:jc w:val="center"/>
        </w:trPr>
        <w:tc>
          <w:tcPr>
            <w:tcW w:w="2610" w:type="dxa"/>
            <w:vAlign w:val="center"/>
          </w:tcPr>
          <w:p w14:paraId="08417EEA" w14:textId="77777777" w:rsidR="00A85D38" w:rsidRPr="00BD2D9C" w:rsidRDefault="00A85D38" w:rsidP="00CC0456">
            <w:pPr>
              <w:jc w:val="center"/>
              <w:rPr>
                <w:sz w:val="20"/>
                <w:szCs w:val="20"/>
              </w:rPr>
            </w:pPr>
            <w:r w:rsidRPr="00BD2D9C">
              <w:rPr>
                <w:sz w:val="20"/>
                <w:szCs w:val="20"/>
              </w:rPr>
              <w:t>3</w:t>
            </w:r>
          </w:p>
        </w:tc>
        <w:tc>
          <w:tcPr>
            <w:tcW w:w="3145" w:type="dxa"/>
            <w:vAlign w:val="center"/>
          </w:tcPr>
          <w:p w14:paraId="53AE96C5" w14:textId="0CEABA94" w:rsidR="00A85D38" w:rsidRPr="00BD2D9C" w:rsidRDefault="00A85D38" w:rsidP="00CC0456">
            <w:pPr>
              <w:jc w:val="center"/>
              <w:rPr>
                <w:sz w:val="20"/>
                <w:szCs w:val="20"/>
              </w:rPr>
            </w:pPr>
            <w:r>
              <w:rPr>
                <w:sz w:val="20"/>
                <w:szCs w:val="20"/>
              </w:rPr>
              <w:t>$1,</w:t>
            </w:r>
            <w:r w:rsidR="0058204B">
              <w:rPr>
                <w:sz w:val="20"/>
                <w:szCs w:val="20"/>
              </w:rPr>
              <w:t>845</w:t>
            </w:r>
          </w:p>
        </w:tc>
        <w:tc>
          <w:tcPr>
            <w:tcW w:w="2160" w:type="dxa"/>
            <w:vAlign w:val="center"/>
          </w:tcPr>
          <w:p w14:paraId="6BDAF382" w14:textId="54977F29" w:rsidR="00A85D38" w:rsidRPr="00207CC7" w:rsidRDefault="00A85D38" w:rsidP="00CC0456">
            <w:pPr>
              <w:jc w:val="center"/>
              <w:rPr>
                <w:sz w:val="20"/>
                <w:szCs w:val="20"/>
              </w:rPr>
            </w:pPr>
            <w:r>
              <w:rPr>
                <w:sz w:val="20"/>
                <w:szCs w:val="20"/>
              </w:rPr>
              <w:t>$</w:t>
            </w:r>
            <w:r w:rsidR="0058204B">
              <w:rPr>
                <w:sz w:val="20"/>
                <w:szCs w:val="20"/>
              </w:rPr>
              <w:t>293,424</w:t>
            </w:r>
          </w:p>
        </w:tc>
      </w:tr>
      <w:tr w:rsidR="00A85D38" w:rsidRPr="00BD2D9C" w14:paraId="4766B7E3" w14:textId="77777777" w:rsidTr="006F7DE6">
        <w:trPr>
          <w:trHeight w:val="360"/>
          <w:jc w:val="center"/>
        </w:trPr>
        <w:tc>
          <w:tcPr>
            <w:tcW w:w="2610" w:type="dxa"/>
            <w:vAlign w:val="center"/>
          </w:tcPr>
          <w:p w14:paraId="65DE3159" w14:textId="77777777" w:rsidR="00A85D38" w:rsidRPr="00BD2D9C" w:rsidRDefault="00A85D38" w:rsidP="00CC0456">
            <w:pPr>
              <w:jc w:val="center"/>
              <w:rPr>
                <w:sz w:val="20"/>
                <w:szCs w:val="20"/>
              </w:rPr>
            </w:pPr>
            <w:r w:rsidRPr="00BD2D9C">
              <w:rPr>
                <w:sz w:val="20"/>
                <w:szCs w:val="20"/>
              </w:rPr>
              <w:t>4</w:t>
            </w:r>
          </w:p>
        </w:tc>
        <w:tc>
          <w:tcPr>
            <w:tcW w:w="3145" w:type="dxa"/>
            <w:vAlign w:val="center"/>
          </w:tcPr>
          <w:p w14:paraId="18181A52" w14:textId="28ECCFB3" w:rsidR="00A85D38" w:rsidRPr="00BD2D9C" w:rsidRDefault="00A85D38" w:rsidP="00CC0456">
            <w:pPr>
              <w:jc w:val="center"/>
              <w:rPr>
                <w:sz w:val="20"/>
                <w:szCs w:val="20"/>
              </w:rPr>
            </w:pPr>
            <w:r>
              <w:rPr>
                <w:sz w:val="20"/>
                <w:szCs w:val="20"/>
              </w:rPr>
              <w:t>$1,</w:t>
            </w:r>
            <w:r w:rsidR="0058204B">
              <w:rPr>
                <w:sz w:val="20"/>
                <w:szCs w:val="20"/>
              </w:rPr>
              <w:t>994</w:t>
            </w:r>
          </w:p>
        </w:tc>
        <w:tc>
          <w:tcPr>
            <w:tcW w:w="2160" w:type="dxa"/>
            <w:vAlign w:val="center"/>
          </w:tcPr>
          <w:p w14:paraId="6FB68059" w14:textId="4D212646" w:rsidR="00A85D38" w:rsidRPr="00207CC7" w:rsidRDefault="00A85D38" w:rsidP="00CC0456">
            <w:pPr>
              <w:jc w:val="center"/>
              <w:rPr>
                <w:sz w:val="20"/>
                <w:szCs w:val="20"/>
              </w:rPr>
            </w:pPr>
            <w:r>
              <w:rPr>
                <w:sz w:val="20"/>
                <w:szCs w:val="20"/>
              </w:rPr>
              <w:t>$3</w:t>
            </w:r>
            <w:r w:rsidR="0058204B">
              <w:rPr>
                <w:sz w:val="20"/>
                <w:szCs w:val="20"/>
              </w:rPr>
              <w:t>17,120</w:t>
            </w:r>
          </w:p>
        </w:tc>
      </w:tr>
    </w:tbl>
    <w:p w14:paraId="4AA96C7C" w14:textId="77777777" w:rsidR="00A85D38" w:rsidRDefault="00A85D38" w:rsidP="00A85D38">
      <w:pPr>
        <w:ind w:right="720"/>
        <w:rPr>
          <w:rFonts w:cs="Tahoma"/>
          <w:sz w:val="16"/>
          <w:szCs w:val="16"/>
          <w:lang w:val="en"/>
        </w:rPr>
      </w:pPr>
    </w:p>
    <w:p w14:paraId="60B3B5E6" w14:textId="77777777" w:rsidR="00A85D38" w:rsidRDefault="00A85D38" w:rsidP="00A85D38">
      <w:pPr>
        <w:ind w:right="720"/>
        <w:rPr>
          <w:rFonts w:cs="Tahoma"/>
          <w:sz w:val="16"/>
          <w:szCs w:val="16"/>
          <w:lang w:val="en"/>
        </w:rPr>
      </w:pPr>
      <w:r w:rsidRPr="002F3049">
        <w:rPr>
          <w:rFonts w:cs="Tahoma"/>
          <w:sz w:val="16"/>
          <w:szCs w:val="16"/>
          <w:lang w:val="en"/>
        </w:rPr>
        <w:t xml:space="preserve">*P = </w:t>
      </w:r>
      <w:proofErr w:type="gramStart"/>
      <w:r w:rsidRPr="002F3049">
        <w:rPr>
          <w:rFonts w:cs="Tahoma"/>
          <w:sz w:val="16"/>
          <w:szCs w:val="16"/>
          <w:lang w:val="en"/>
        </w:rPr>
        <w:t>( r</w:t>
      </w:r>
      <w:proofErr w:type="gramEnd"/>
      <w:r w:rsidRPr="002F3049">
        <w:rPr>
          <w:rFonts w:cs="Tahoma"/>
          <w:sz w:val="16"/>
          <w:szCs w:val="16"/>
          <w:lang w:val="en"/>
        </w:rPr>
        <w:t xml:space="preserve"> * A ) / ( 1 - (1+r)</w:t>
      </w:r>
      <w:r w:rsidRPr="002F3049">
        <w:rPr>
          <w:rFonts w:cs="Tahoma"/>
          <w:sz w:val="16"/>
          <w:szCs w:val="16"/>
          <w:vertAlign w:val="superscript"/>
          <w:lang w:val="en"/>
        </w:rPr>
        <w:t>-N</w:t>
      </w:r>
      <w:r w:rsidRPr="002F3049">
        <w:rPr>
          <w:rFonts w:cs="Tahoma"/>
          <w:sz w:val="16"/>
          <w:szCs w:val="16"/>
          <w:lang w:val="en"/>
        </w:rPr>
        <w:t>) Where, P = Payment Amount A = Loan Amount r = Rate of Interest (compounded) N = Number of Payments Rate of Interest Compounded</w:t>
      </w:r>
    </w:p>
    <w:p w14:paraId="3894B2CB" w14:textId="77777777" w:rsidR="006F7DE6" w:rsidRPr="006F7DE6" w:rsidRDefault="006F7DE6" w:rsidP="00A85D38">
      <w:pPr>
        <w:rPr>
          <w:rFonts w:ascii="Corbel" w:hAnsi="Corbel"/>
          <w:sz w:val="30"/>
          <w:szCs w:val="30"/>
        </w:rPr>
      </w:pPr>
    </w:p>
    <w:p w14:paraId="6E0B11DD" w14:textId="77777777" w:rsidR="006F7DE6" w:rsidRDefault="006F7DE6" w:rsidP="00A85D38">
      <w:pPr>
        <w:rPr>
          <w:rFonts w:ascii="Corbel" w:hAnsi="Corbel"/>
          <w:b/>
          <w:sz w:val="26"/>
          <w:szCs w:val="26"/>
        </w:rPr>
      </w:pPr>
    </w:p>
    <w:p w14:paraId="79EB5D4E" w14:textId="77777777" w:rsidR="006F7DE6" w:rsidRDefault="006F7DE6" w:rsidP="00A85D38">
      <w:pPr>
        <w:rPr>
          <w:rFonts w:ascii="Corbel" w:hAnsi="Corbel"/>
          <w:b/>
          <w:sz w:val="26"/>
          <w:szCs w:val="26"/>
        </w:rPr>
      </w:pPr>
    </w:p>
    <w:p w14:paraId="7E15B251" w14:textId="77777777" w:rsidR="006F7DE6" w:rsidRDefault="006F7DE6" w:rsidP="00A85D38">
      <w:pPr>
        <w:rPr>
          <w:rFonts w:ascii="Corbel" w:hAnsi="Corbel"/>
          <w:b/>
          <w:sz w:val="26"/>
          <w:szCs w:val="26"/>
        </w:rPr>
      </w:pPr>
    </w:p>
    <w:p w14:paraId="28DB1E09" w14:textId="6AC0B612" w:rsidR="00A85D38" w:rsidRPr="00C41963" w:rsidRDefault="00A85D38" w:rsidP="00A85D38">
      <w:pPr>
        <w:rPr>
          <w:rFonts w:ascii="Corbel" w:hAnsi="Corbel"/>
          <w:b/>
          <w:sz w:val="26"/>
          <w:szCs w:val="26"/>
        </w:rPr>
      </w:pPr>
      <w:r w:rsidRPr="00C41963">
        <w:rPr>
          <w:rFonts w:ascii="Corbel" w:hAnsi="Corbel"/>
          <w:b/>
          <w:sz w:val="26"/>
          <w:szCs w:val="26"/>
        </w:rPr>
        <w:lastRenderedPageBreak/>
        <w:t>STEP SEVEN: CALCULATE SALES PRICE</w:t>
      </w:r>
    </w:p>
    <w:p w14:paraId="791BF7D6" w14:textId="77777777" w:rsidR="00A85D38" w:rsidRPr="00C41963" w:rsidRDefault="00A85D38" w:rsidP="00A85D38">
      <w:pPr>
        <w:rPr>
          <w:sz w:val="18"/>
          <w:szCs w:val="18"/>
        </w:rPr>
      </w:pPr>
    </w:p>
    <w:p w14:paraId="40FFD244" w14:textId="77777777" w:rsidR="00A85D38" w:rsidRPr="00207CC7" w:rsidRDefault="00A85D38" w:rsidP="00A85D38">
      <w:r w:rsidRPr="00207CC7">
        <w:t xml:space="preserve">Calculate Sales Price Based </w:t>
      </w:r>
      <w:r>
        <w:t>on</w:t>
      </w:r>
      <w:r w:rsidRPr="00207CC7">
        <w:t xml:space="preserve"> Adding the Required Down Payment to </w:t>
      </w:r>
      <w:r>
        <w:t xml:space="preserve">the Maximum Mortgage Amount.  The required down payment amount will be the FHA insured mortgage down payment amount, which is currently equal to 3.5 percent of the sales price. </w:t>
      </w:r>
    </w:p>
    <w:p w14:paraId="3132488E" w14:textId="77777777" w:rsidR="00A85D38" w:rsidRPr="00207CC7" w:rsidRDefault="00A85D38" w:rsidP="00A85D38">
      <w:pPr>
        <w:rPr>
          <w:b/>
          <w:sz w:val="24"/>
          <w:szCs w:val="24"/>
        </w:rPr>
      </w:pPr>
    </w:p>
    <w:tbl>
      <w:tblPr>
        <w:tblStyle w:val="TableGrid"/>
        <w:tblW w:w="9350" w:type="dxa"/>
        <w:jc w:val="center"/>
        <w:tblLook w:val="04A0" w:firstRow="1" w:lastRow="0" w:firstColumn="1" w:lastColumn="0" w:noHBand="0" w:noVBand="1"/>
      </w:tblPr>
      <w:tblGrid>
        <w:gridCol w:w="1529"/>
        <w:gridCol w:w="2320"/>
        <w:gridCol w:w="1755"/>
        <w:gridCol w:w="1963"/>
        <w:gridCol w:w="1783"/>
      </w:tblGrid>
      <w:tr w:rsidR="00A85D38" w:rsidRPr="00207CC7" w14:paraId="133FDB34" w14:textId="77777777" w:rsidTr="00D2164F">
        <w:trPr>
          <w:trHeight w:val="360"/>
          <w:jc w:val="center"/>
        </w:trPr>
        <w:tc>
          <w:tcPr>
            <w:tcW w:w="1529" w:type="dxa"/>
            <w:shd w:val="clear" w:color="auto" w:fill="F2F2F2" w:themeFill="background1" w:themeFillShade="F2"/>
            <w:vAlign w:val="center"/>
          </w:tcPr>
          <w:p w14:paraId="71163EDB" w14:textId="77777777" w:rsidR="00A85D38" w:rsidRPr="00207CC7" w:rsidRDefault="00A85D38" w:rsidP="00CC0456">
            <w:pPr>
              <w:jc w:val="center"/>
              <w:rPr>
                <w:b/>
                <w:sz w:val="20"/>
                <w:szCs w:val="20"/>
              </w:rPr>
            </w:pPr>
            <w:r w:rsidRPr="00207CC7">
              <w:rPr>
                <w:b/>
                <w:sz w:val="20"/>
                <w:szCs w:val="20"/>
              </w:rPr>
              <w:t>Number of Bedrooms</w:t>
            </w:r>
          </w:p>
        </w:tc>
        <w:tc>
          <w:tcPr>
            <w:tcW w:w="2320" w:type="dxa"/>
            <w:shd w:val="clear" w:color="auto" w:fill="F2F2F2" w:themeFill="background1" w:themeFillShade="F2"/>
            <w:vAlign w:val="center"/>
          </w:tcPr>
          <w:p w14:paraId="7D765E80" w14:textId="77777777" w:rsidR="00A85D38" w:rsidRPr="00207CC7" w:rsidRDefault="00A85D38" w:rsidP="00CC0456">
            <w:pPr>
              <w:jc w:val="center"/>
              <w:rPr>
                <w:b/>
                <w:sz w:val="20"/>
                <w:szCs w:val="20"/>
              </w:rPr>
            </w:pPr>
            <w:r w:rsidRPr="00207CC7">
              <w:rPr>
                <w:b/>
                <w:sz w:val="20"/>
                <w:szCs w:val="20"/>
              </w:rPr>
              <w:t>Income Available for Mortgage Principal and Interest Payment</w:t>
            </w:r>
          </w:p>
        </w:tc>
        <w:tc>
          <w:tcPr>
            <w:tcW w:w="1755" w:type="dxa"/>
            <w:shd w:val="clear" w:color="auto" w:fill="F2F2F2" w:themeFill="background1" w:themeFillShade="F2"/>
            <w:vAlign w:val="center"/>
          </w:tcPr>
          <w:p w14:paraId="411459F3" w14:textId="77777777" w:rsidR="00A85D38" w:rsidRPr="00207CC7" w:rsidRDefault="00A85D38" w:rsidP="00CC0456">
            <w:pPr>
              <w:jc w:val="center"/>
              <w:rPr>
                <w:b/>
                <w:sz w:val="20"/>
                <w:szCs w:val="20"/>
              </w:rPr>
            </w:pPr>
            <w:r w:rsidRPr="00207CC7">
              <w:rPr>
                <w:b/>
                <w:sz w:val="20"/>
                <w:szCs w:val="20"/>
              </w:rPr>
              <w:t>Maximum Mortgage Amount</w:t>
            </w:r>
          </w:p>
        </w:tc>
        <w:tc>
          <w:tcPr>
            <w:tcW w:w="1963" w:type="dxa"/>
            <w:shd w:val="clear" w:color="auto" w:fill="F2F2F2" w:themeFill="background1" w:themeFillShade="F2"/>
            <w:vAlign w:val="center"/>
          </w:tcPr>
          <w:p w14:paraId="44CB8616" w14:textId="77777777" w:rsidR="00A85D38" w:rsidRPr="00207CC7" w:rsidRDefault="00A85D38" w:rsidP="00CC0456">
            <w:pPr>
              <w:jc w:val="center"/>
              <w:rPr>
                <w:b/>
                <w:sz w:val="20"/>
                <w:szCs w:val="20"/>
              </w:rPr>
            </w:pPr>
            <w:r w:rsidRPr="00207CC7">
              <w:rPr>
                <w:b/>
                <w:sz w:val="20"/>
                <w:szCs w:val="20"/>
              </w:rPr>
              <w:t>Sales Price (Mortgage Amount Divided by .965)</w:t>
            </w:r>
          </w:p>
        </w:tc>
        <w:tc>
          <w:tcPr>
            <w:tcW w:w="1783" w:type="dxa"/>
            <w:shd w:val="clear" w:color="auto" w:fill="F2F2F2" w:themeFill="background1" w:themeFillShade="F2"/>
            <w:vAlign w:val="center"/>
          </w:tcPr>
          <w:p w14:paraId="4EE3C66B" w14:textId="77777777" w:rsidR="00A85D38" w:rsidRPr="00207CC7" w:rsidRDefault="00A85D38" w:rsidP="00CC0456">
            <w:pPr>
              <w:jc w:val="center"/>
              <w:rPr>
                <w:b/>
                <w:sz w:val="20"/>
                <w:szCs w:val="20"/>
              </w:rPr>
            </w:pPr>
            <w:r>
              <w:rPr>
                <w:b/>
                <w:sz w:val="20"/>
                <w:szCs w:val="20"/>
              </w:rPr>
              <w:t>Maximum House Price</w:t>
            </w:r>
          </w:p>
        </w:tc>
      </w:tr>
      <w:tr w:rsidR="00A85D38" w:rsidRPr="00207CC7" w14:paraId="2C8C3F84" w14:textId="77777777" w:rsidTr="00D2164F">
        <w:trPr>
          <w:trHeight w:val="360"/>
          <w:jc w:val="center"/>
        </w:trPr>
        <w:tc>
          <w:tcPr>
            <w:tcW w:w="1529" w:type="dxa"/>
            <w:vAlign w:val="center"/>
          </w:tcPr>
          <w:p w14:paraId="13C915B0" w14:textId="77777777" w:rsidR="00A85D38" w:rsidRPr="00207CC7" w:rsidRDefault="00A85D38" w:rsidP="00CC0456">
            <w:pPr>
              <w:jc w:val="center"/>
              <w:rPr>
                <w:sz w:val="20"/>
                <w:szCs w:val="20"/>
              </w:rPr>
            </w:pPr>
            <w:r w:rsidRPr="00207CC7">
              <w:rPr>
                <w:sz w:val="20"/>
                <w:szCs w:val="20"/>
              </w:rPr>
              <w:t>1</w:t>
            </w:r>
          </w:p>
        </w:tc>
        <w:tc>
          <w:tcPr>
            <w:tcW w:w="2320" w:type="dxa"/>
            <w:vAlign w:val="center"/>
          </w:tcPr>
          <w:p w14:paraId="2451B278" w14:textId="33F8CAF1" w:rsidR="00A85D38" w:rsidRPr="00207CC7" w:rsidRDefault="00A85D38" w:rsidP="00CC0456">
            <w:pPr>
              <w:jc w:val="center"/>
              <w:rPr>
                <w:sz w:val="20"/>
                <w:szCs w:val="20"/>
              </w:rPr>
            </w:pPr>
            <w:r>
              <w:rPr>
                <w:sz w:val="20"/>
                <w:szCs w:val="20"/>
              </w:rPr>
              <w:t>$1,</w:t>
            </w:r>
            <w:r w:rsidR="0058204B">
              <w:rPr>
                <w:sz w:val="20"/>
                <w:szCs w:val="20"/>
              </w:rPr>
              <w:t>447</w:t>
            </w:r>
          </w:p>
        </w:tc>
        <w:tc>
          <w:tcPr>
            <w:tcW w:w="1755" w:type="dxa"/>
            <w:vAlign w:val="center"/>
          </w:tcPr>
          <w:p w14:paraId="6D385B8A" w14:textId="62186670" w:rsidR="00A85D38" w:rsidRPr="00207CC7" w:rsidRDefault="00A85D38" w:rsidP="00CC0456">
            <w:pPr>
              <w:jc w:val="center"/>
              <w:rPr>
                <w:sz w:val="20"/>
                <w:szCs w:val="20"/>
              </w:rPr>
            </w:pPr>
            <w:r>
              <w:rPr>
                <w:sz w:val="20"/>
                <w:szCs w:val="20"/>
              </w:rPr>
              <w:t>$2</w:t>
            </w:r>
            <w:r w:rsidR="00357331">
              <w:rPr>
                <w:sz w:val="20"/>
                <w:szCs w:val="20"/>
              </w:rPr>
              <w:t>34,898</w:t>
            </w:r>
          </w:p>
        </w:tc>
        <w:tc>
          <w:tcPr>
            <w:tcW w:w="1963" w:type="dxa"/>
            <w:vAlign w:val="center"/>
          </w:tcPr>
          <w:p w14:paraId="261CB4F2" w14:textId="15105D0F" w:rsidR="00A85D38" w:rsidRPr="00207CC7" w:rsidRDefault="00A85D38" w:rsidP="00CC0456">
            <w:pPr>
              <w:jc w:val="center"/>
              <w:rPr>
                <w:sz w:val="20"/>
                <w:szCs w:val="20"/>
              </w:rPr>
            </w:pPr>
            <w:r>
              <w:rPr>
                <w:sz w:val="20"/>
                <w:szCs w:val="20"/>
              </w:rPr>
              <w:t>$2</w:t>
            </w:r>
            <w:r w:rsidR="00357331">
              <w:rPr>
                <w:sz w:val="20"/>
                <w:szCs w:val="20"/>
              </w:rPr>
              <w:t>43,418</w:t>
            </w:r>
          </w:p>
        </w:tc>
        <w:tc>
          <w:tcPr>
            <w:tcW w:w="1783" w:type="dxa"/>
            <w:vAlign w:val="center"/>
          </w:tcPr>
          <w:p w14:paraId="36566C79" w14:textId="22439ABB" w:rsidR="00A85D38" w:rsidRDefault="00A85D38" w:rsidP="00CC0456">
            <w:pPr>
              <w:jc w:val="center"/>
              <w:rPr>
                <w:sz w:val="20"/>
                <w:szCs w:val="20"/>
              </w:rPr>
            </w:pPr>
            <w:r>
              <w:rPr>
                <w:sz w:val="20"/>
                <w:szCs w:val="20"/>
              </w:rPr>
              <w:t>$2</w:t>
            </w:r>
            <w:r w:rsidR="00357331">
              <w:rPr>
                <w:sz w:val="20"/>
                <w:szCs w:val="20"/>
              </w:rPr>
              <w:t>43</w:t>
            </w:r>
            <w:r>
              <w:rPr>
                <w:sz w:val="20"/>
                <w:szCs w:val="20"/>
              </w:rPr>
              <w:t>,000</w:t>
            </w:r>
          </w:p>
        </w:tc>
      </w:tr>
      <w:tr w:rsidR="00A85D38" w:rsidRPr="00207CC7" w14:paraId="052F8B15" w14:textId="77777777" w:rsidTr="00D2164F">
        <w:trPr>
          <w:trHeight w:val="360"/>
          <w:jc w:val="center"/>
        </w:trPr>
        <w:tc>
          <w:tcPr>
            <w:tcW w:w="1529" w:type="dxa"/>
            <w:vAlign w:val="center"/>
          </w:tcPr>
          <w:p w14:paraId="1B6D7177" w14:textId="77777777" w:rsidR="00A85D38" w:rsidRPr="00207CC7" w:rsidRDefault="00A85D38" w:rsidP="00CC0456">
            <w:pPr>
              <w:jc w:val="center"/>
              <w:rPr>
                <w:sz w:val="20"/>
                <w:szCs w:val="20"/>
              </w:rPr>
            </w:pPr>
            <w:r w:rsidRPr="00207CC7">
              <w:rPr>
                <w:sz w:val="20"/>
                <w:szCs w:val="20"/>
              </w:rPr>
              <w:t>2</w:t>
            </w:r>
          </w:p>
        </w:tc>
        <w:tc>
          <w:tcPr>
            <w:tcW w:w="2320" w:type="dxa"/>
            <w:vAlign w:val="center"/>
          </w:tcPr>
          <w:p w14:paraId="50A692C9" w14:textId="3EF25855" w:rsidR="00A85D38" w:rsidRPr="00207CC7" w:rsidRDefault="00A85D38" w:rsidP="00CC0456">
            <w:pPr>
              <w:jc w:val="center"/>
              <w:rPr>
                <w:sz w:val="20"/>
                <w:szCs w:val="20"/>
              </w:rPr>
            </w:pPr>
            <w:r>
              <w:rPr>
                <w:sz w:val="20"/>
                <w:szCs w:val="20"/>
              </w:rPr>
              <w:t>$1</w:t>
            </w:r>
            <w:r w:rsidR="0058204B">
              <w:rPr>
                <w:sz w:val="20"/>
                <w:szCs w:val="20"/>
              </w:rPr>
              <w:t>,661</w:t>
            </w:r>
          </w:p>
        </w:tc>
        <w:tc>
          <w:tcPr>
            <w:tcW w:w="1755" w:type="dxa"/>
            <w:vAlign w:val="center"/>
          </w:tcPr>
          <w:p w14:paraId="2159F779" w14:textId="2A2C4E7A" w:rsidR="00A85D38" w:rsidRPr="00207CC7" w:rsidRDefault="00A85D38" w:rsidP="00CC0456">
            <w:pPr>
              <w:jc w:val="center"/>
              <w:rPr>
                <w:sz w:val="20"/>
                <w:szCs w:val="20"/>
              </w:rPr>
            </w:pPr>
            <w:r>
              <w:rPr>
                <w:sz w:val="20"/>
                <w:szCs w:val="20"/>
              </w:rPr>
              <w:t>$</w:t>
            </w:r>
            <w:r w:rsidR="00357331">
              <w:rPr>
                <w:sz w:val="20"/>
                <w:szCs w:val="20"/>
              </w:rPr>
              <w:t>264,161</w:t>
            </w:r>
          </w:p>
        </w:tc>
        <w:tc>
          <w:tcPr>
            <w:tcW w:w="1963" w:type="dxa"/>
            <w:vAlign w:val="center"/>
          </w:tcPr>
          <w:p w14:paraId="13779741" w14:textId="41551606" w:rsidR="00A85D38" w:rsidRPr="00207CC7" w:rsidRDefault="00A85D38" w:rsidP="00CC0456">
            <w:pPr>
              <w:jc w:val="center"/>
              <w:rPr>
                <w:sz w:val="20"/>
                <w:szCs w:val="20"/>
              </w:rPr>
            </w:pPr>
            <w:r>
              <w:rPr>
                <w:sz w:val="20"/>
                <w:szCs w:val="20"/>
              </w:rPr>
              <w:t>$</w:t>
            </w:r>
            <w:r w:rsidR="00357331">
              <w:rPr>
                <w:sz w:val="20"/>
                <w:szCs w:val="20"/>
              </w:rPr>
              <w:t>273,742</w:t>
            </w:r>
          </w:p>
        </w:tc>
        <w:tc>
          <w:tcPr>
            <w:tcW w:w="1783" w:type="dxa"/>
            <w:vAlign w:val="center"/>
          </w:tcPr>
          <w:p w14:paraId="6DF2583A" w14:textId="02346F09" w:rsidR="00A85D38" w:rsidRDefault="00A85D38" w:rsidP="00CC0456">
            <w:pPr>
              <w:jc w:val="center"/>
              <w:rPr>
                <w:sz w:val="20"/>
                <w:szCs w:val="20"/>
              </w:rPr>
            </w:pPr>
            <w:r>
              <w:rPr>
                <w:sz w:val="20"/>
                <w:szCs w:val="20"/>
              </w:rPr>
              <w:t>$</w:t>
            </w:r>
            <w:r w:rsidR="00357331">
              <w:rPr>
                <w:sz w:val="20"/>
                <w:szCs w:val="20"/>
              </w:rPr>
              <w:t>274</w:t>
            </w:r>
            <w:r>
              <w:rPr>
                <w:sz w:val="20"/>
                <w:szCs w:val="20"/>
              </w:rPr>
              <w:t>,000</w:t>
            </w:r>
          </w:p>
        </w:tc>
      </w:tr>
      <w:tr w:rsidR="00A85D38" w:rsidRPr="00207CC7" w14:paraId="5EB6F1E9" w14:textId="77777777" w:rsidTr="00D2164F">
        <w:trPr>
          <w:trHeight w:val="360"/>
          <w:jc w:val="center"/>
        </w:trPr>
        <w:tc>
          <w:tcPr>
            <w:tcW w:w="1529" w:type="dxa"/>
            <w:vAlign w:val="center"/>
          </w:tcPr>
          <w:p w14:paraId="0BF74839" w14:textId="77777777" w:rsidR="00A85D38" w:rsidRPr="00207CC7" w:rsidRDefault="00A85D38" w:rsidP="00CC0456">
            <w:pPr>
              <w:jc w:val="center"/>
              <w:rPr>
                <w:sz w:val="20"/>
                <w:szCs w:val="20"/>
              </w:rPr>
            </w:pPr>
            <w:r w:rsidRPr="00207CC7">
              <w:rPr>
                <w:sz w:val="20"/>
                <w:szCs w:val="20"/>
              </w:rPr>
              <w:t>3</w:t>
            </w:r>
          </w:p>
        </w:tc>
        <w:tc>
          <w:tcPr>
            <w:tcW w:w="2320" w:type="dxa"/>
            <w:vAlign w:val="center"/>
          </w:tcPr>
          <w:p w14:paraId="289A70E6" w14:textId="2780071D" w:rsidR="00A85D38" w:rsidRPr="00207CC7" w:rsidRDefault="00A85D38" w:rsidP="00CC0456">
            <w:pPr>
              <w:jc w:val="center"/>
              <w:rPr>
                <w:sz w:val="20"/>
                <w:szCs w:val="20"/>
              </w:rPr>
            </w:pPr>
            <w:r>
              <w:rPr>
                <w:sz w:val="20"/>
                <w:szCs w:val="20"/>
              </w:rPr>
              <w:t>$1,</w:t>
            </w:r>
            <w:r w:rsidR="0058204B">
              <w:rPr>
                <w:sz w:val="20"/>
                <w:szCs w:val="20"/>
              </w:rPr>
              <w:t>845</w:t>
            </w:r>
          </w:p>
        </w:tc>
        <w:tc>
          <w:tcPr>
            <w:tcW w:w="1755" w:type="dxa"/>
            <w:vAlign w:val="center"/>
          </w:tcPr>
          <w:p w14:paraId="47E9F841" w14:textId="3CF469DF" w:rsidR="00A85D38" w:rsidRPr="00207CC7" w:rsidRDefault="00A85D38" w:rsidP="00CC0456">
            <w:pPr>
              <w:jc w:val="center"/>
              <w:rPr>
                <w:sz w:val="20"/>
                <w:szCs w:val="20"/>
              </w:rPr>
            </w:pPr>
            <w:r>
              <w:rPr>
                <w:sz w:val="20"/>
                <w:szCs w:val="20"/>
              </w:rPr>
              <w:t>$</w:t>
            </w:r>
            <w:r w:rsidR="00357331">
              <w:rPr>
                <w:sz w:val="20"/>
                <w:szCs w:val="20"/>
              </w:rPr>
              <w:t>293,424</w:t>
            </w:r>
          </w:p>
        </w:tc>
        <w:tc>
          <w:tcPr>
            <w:tcW w:w="1963" w:type="dxa"/>
            <w:vAlign w:val="center"/>
          </w:tcPr>
          <w:p w14:paraId="75E5A123" w14:textId="28FBB591" w:rsidR="00A85D38" w:rsidRPr="00207CC7" w:rsidRDefault="00A85D38" w:rsidP="00CC0456">
            <w:pPr>
              <w:jc w:val="center"/>
              <w:rPr>
                <w:sz w:val="20"/>
                <w:szCs w:val="20"/>
              </w:rPr>
            </w:pPr>
            <w:r>
              <w:rPr>
                <w:sz w:val="20"/>
                <w:szCs w:val="20"/>
              </w:rPr>
              <w:t>$</w:t>
            </w:r>
            <w:r w:rsidR="00357331">
              <w:rPr>
                <w:sz w:val="20"/>
                <w:szCs w:val="20"/>
              </w:rPr>
              <w:t>304,066</w:t>
            </w:r>
          </w:p>
        </w:tc>
        <w:tc>
          <w:tcPr>
            <w:tcW w:w="1783" w:type="dxa"/>
            <w:vAlign w:val="center"/>
          </w:tcPr>
          <w:p w14:paraId="0563BF85" w14:textId="612A4807" w:rsidR="00A85D38" w:rsidRDefault="00A85D38" w:rsidP="00CC0456">
            <w:pPr>
              <w:jc w:val="center"/>
              <w:rPr>
                <w:sz w:val="20"/>
                <w:szCs w:val="20"/>
              </w:rPr>
            </w:pPr>
            <w:r>
              <w:rPr>
                <w:sz w:val="20"/>
                <w:szCs w:val="20"/>
              </w:rPr>
              <w:t>$</w:t>
            </w:r>
            <w:r w:rsidR="00357331">
              <w:rPr>
                <w:sz w:val="20"/>
                <w:szCs w:val="20"/>
              </w:rPr>
              <w:t>304</w:t>
            </w:r>
            <w:r>
              <w:rPr>
                <w:sz w:val="20"/>
                <w:szCs w:val="20"/>
              </w:rPr>
              <w:t>,000</w:t>
            </w:r>
          </w:p>
        </w:tc>
      </w:tr>
      <w:tr w:rsidR="00A85D38" w:rsidRPr="00207CC7" w14:paraId="38A14926" w14:textId="77777777" w:rsidTr="00D2164F">
        <w:trPr>
          <w:trHeight w:val="360"/>
          <w:jc w:val="center"/>
        </w:trPr>
        <w:tc>
          <w:tcPr>
            <w:tcW w:w="1529" w:type="dxa"/>
            <w:vAlign w:val="center"/>
          </w:tcPr>
          <w:p w14:paraId="2B6B5202" w14:textId="77777777" w:rsidR="00A85D38" w:rsidRPr="00207CC7" w:rsidRDefault="00A85D38" w:rsidP="00CC0456">
            <w:pPr>
              <w:jc w:val="center"/>
              <w:rPr>
                <w:sz w:val="20"/>
                <w:szCs w:val="20"/>
              </w:rPr>
            </w:pPr>
            <w:r w:rsidRPr="00207CC7">
              <w:rPr>
                <w:sz w:val="20"/>
                <w:szCs w:val="20"/>
              </w:rPr>
              <w:t>4</w:t>
            </w:r>
          </w:p>
        </w:tc>
        <w:tc>
          <w:tcPr>
            <w:tcW w:w="2320" w:type="dxa"/>
            <w:vAlign w:val="center"/>
          </w:tcPr>
          <w:p w14:paraId="4F35F2D0" w14:textId="1C727BE6" w:rsidR="00A85D38" w:rsidRPr="00207CC7" w:rsidRDefault="00A85D38" w:rsidP="00CC0456">
            <w:pPr>
              <w:jc w:val="center"/>
              <w:rPr>
                <w:sz w:val="20"/>
                <w:szCs w:val="20"/>
              </w:rPr>
            </w:pPr>
            <w:r>
              <w:rPr>
                <w:sz w:val="20"/>
                <w:szCs w:val="20"/>
              </w:rPr>
              <w:t>$1,</w:t>
            </w:r>
            <w:r w:rsidR="0058204B">
              <w:rPr>
                <w:sz w:val="20"/>
                <w:szCs w:val="20"/>
              </w:rPr>
              <w:t>994</w:t>
            </w:r>
          </w:p>
        </w:tc>
        <w:tc>
          <w:tcPr>
            <w:tcW w:w="1755" w:type="dxa"/>
            <w:vAlign w:val="center"/>
          </w:tcPr>
          <w:p w14:paraId="63B0F877" w14:textId="75887968" w:rsidR="00A85D38" w:rsidRPr="00207CC7" w:rsidRDefault="00A85D38" w:rsidP="00CC0456">
            <w:pPr>
              <w:jc w:val="center"/>
              <w:rPr>
                <w:sz w:val="20"/>
                <w:szCs w:val="20"/>
              </w:rPr>
            </w:pPr>
            <w:r>
              <w:rPr>
                <w:sz w:val="20"/>
                <w:szCs w:val="20"/>
              </w:rPr>
              <w:t>$</w:t>
            </w:r>
            <w:r w:rsidR="00357331">
              <w:rPr>
                <w:sz w:val="20"/>
                <w:szCs w:val="20"/>
              </w:rPr>
              <w:t>317,120</w:t>
            </w:r>
          </w:p>
        </w:tc>
        <w:tc>
          <w:tcPr>
            <w:tcW w:w="1963" w:type="dxa"/>
            <w:vAlign w:val="center"/>
          </w:tcPr>
          <w:p w14:paraId="1738E472" w14:textId="48D24B79" w:rsidR="00A85D38" w:rsidRPr="00207CC7" w:rsidRDefault="00A85D38" w:rsidP="00CC0456">
            <w:pPr>
              <w:jc w:val="center"/>
              <w:rPr>
                <w:sz w:val="20"/>
                <w:szCs w:val="20"/>
              </w:rPr>
            </w:pPr>
            <w:r>
              <w:rPr>
                <w:sz w:val="20"/>
                <w:szCs w:val="20"/>
              </w:rPr>
              <w:t>$</w:t>
            </w:r>
            <w:r w:rsidR="00357331">
              <w:rPr>
                <w:sz w:val="20"/>
                <w:szCs w:val="20"/>
              </w:rPr>
              <w:t>328,622</w:t>
            </w:r>
          </w:p>
        </w:tc>
        <w:tc>
          <w:tcPr>
            <w:tcW w:w="1783" w:type="dxa"/>
            <w:vAlign w:val="center"/>
          </w:tcPr>
          <w:p w14:paraId="7CA09C83" w14:textId="412C85D2" w:rsidR="00A85D38" w:rsidRDefault="00A85D38" w:rsidP="00CC0456">
            <w:pPr>
              <w:jc w:val="center"/>
              <w:rPr>
                <w:sz w:val="20"/>
                <w:szCs w:val="20"/>
              </w:rPr>
            </w:pPr>
            <w:r>
              <w:rPr>
                <w:sz w:val="20"/>
                <w:szCs w:val="20"/>
              </w:rPr>
              <w:t>$3</w:t>
            </w:r>
            <w:r w:rsidR="00357331">
              <w:rPr>
                <w:sz w:val="20"/>
                <w:szCs w:val="20"/>
              </w:rPr>
              <w:t>29</w:t>
            </w:r>
            <w:r>
              <w:rPr>
                <w:sz w:val="20"/>
                <w:szCs w:val="20"/>
              </w:rPr>
              <w:t>,000</w:t>
            </w:r>
          </w:p>
        </w:tc>
      </w:tr>
    </w:tbl>
    <w:p w14:paraId="1E7FFE83" w14:textId="77777777" w:rsidR="00A85D38" w:rsidRPr="00207CC7" w:rsidRDefault="00A85D38" w:rsidP="00A85D38">
      <w:pPr>
        <w:ind w:right="720"/>
        <w:rPr>
          <w:rFonts w:cs="Tahoma"/>
          <w:sz w:val="16"/>
          <w:szCs w:val="16"/>
          <w:lang w:val="en"/>
        </w:rPr>
      </w:pPr>
    </w:p>
    <w:p w14:paraId="2F53BAE9" w14:textId="77777777" w:rsidR="00A85D38" w:rsidRPr="00207CC7" w:rsidRDefault="00A85D38" w:rsidP="00A85D38">
      <w:pPr>
        <w:ind w:right="720"/>
        <w:rPr>
          <w:rFonts w:cs="Tahoma"/>
          <w:sz w:val="16"/>
          <w:szCs w:val="16"/>
          <w:lang w:val="en"/>
        </w:rPr>
      </w:pPr>
    </w:p>
    <w:p w14:paraId="3A3655E3" w14:textId="77777777" w:rsidR="00A85D38" w:rsidRPr="00207CC7" w:rsidRDefault="00A85D38" w:rsidP="00A85D38">
      <w:pPr>
        <w:ind w:right="720"/>
        <w:rPr>
          <w:rFonts w:cs="Tahoma"/>
          <w:sz w:val="16"/>
          <w:szCs w:val="16"/>
          <w:lang w:val="en"/>
        </w:rPr>
      </w:pPr>
    </w:p>
    <w:p w14:paraId="5189A5C1" w14:textId="77777777" w:rsidR="00A85D38" w:rsidRPr="00207CC7" w:rsidRDefault="00A85D38" w:rsidP="00A85D38">
      <w:pPr>
        <w:ind w:right="720"/>
        <w:rPr>
          <w:rFonts w:cs="Tahoma"/>
          <w:sz w:val="16"/>
          <w:szCs w:val="16"/>
          <w:lang w:val="en"/>
        </w:rPr>
      </w:pPr>
    </w:p>
    <w:p w14:paraId="28A8B11C" w14:textId="430BD41E" w:rsidR="0003105E" w:rsidRDefault="00A85D38" w:rsidP="00553A01">
      <w:r w:rsidRPr="00207CC7">
        <w:rPr>
          <w:sz w:val="12"/>
          <w:szCs w:val="12"/>
        </w:rPr>
        <w:fldChar w:fldCharType="begin"/>
      </w:r>
      <w:r w:rsidRPr="00207CC7">
        <w:rPr>
          <w:sz w:val="12"/>
          <w:szCs w:val="12"/>
        </w:rPr>
        <w:instrText xml:space="preserve"> FILENAME  \p  \* MERGEFORMAT </w:instrText>
      </w:r>
      <w:r w:rsidRPr="00207CC7">
        <w:rPr>
          <w:sz w:val="12"/>
          <w:szCs w:val="12"/>
        </w:rPr>
        <w:fldChar w:fldCharType="separate"/>
      </w:r>
      <w:r w:rsidR="0040588A">
        <w:rPr>
          <w:noProof/>
          <w:sz w:val="12"/>
          <w:szCs w:val="12"/>
        </w:rPr>
        <w:t>https://acdsinc-my.sharepoint.com/personal/chall_acdsinc_org/Documents/WFH_Conditional Use Requirements_published by OPZ June.2023.docx</w:t>
      </w:r>
      <w:r w:rsidRPr="00207CC7">
        <w:rPr>
          <w:sz w:val="12"/>
          <w:szCs w:val="12"/>
        </w:rPr>
        <w:fldChar w:fldCharType="end"/>
      </w:r>
    </w:p>
    <w:sectPr w:rsidR="0003105E" w:rsidSect="00D2164F">
      <w:headerReference w:type="first" r:id="rId14"/>
      <w:footerReference w:type="first" r:id="rId15"/>
      <w:pgSz w:w="12240" w:h="15840"/>
      <w:pgMar w:top="1440" w:right="1440" w:bottom="1440" w:left="1440" w:header="86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06B40" w14:textId="77777777" w:rsidR="00F65724" w:rsidRDefault="00F65724" w:rsidP="00A85D38">
      <w:r>
        <w:separator/>
      </w:r>
    </w:p>
  </w:endnote>
  <w:endnote w:type="continuationSeparator" w:id="0">
    <w:p w14:paraId="758AE0E7" w14:textId="77777777" w:rsidR="00F65724" w:rsidRDefault="00F65724" w:rsidP="00A8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F981" w14:textId="220B187A" w:rsidR="003E5C95" w:rsidRPr="0077623E" w:rsidRDefault="003E5C95">
    <w:pPr>
      <w:pStyle w:val="Footer"/>
      <w:rPr>
        <w:sz w:val="16"/>
        <w:szCs w:val="16"/>
      </w:rPr>
    </w:pPr>
    <w:r w:rsidRPr="0077623E">
      <w:rPr>
        <w:noProof/>
        <w:sz w:val="16"/>
        <w:szCs w:val="16"/>
      </w:rPr>
      <w:t>{00355939.DOCX;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B8B7" w14:textId="1EB6CB8D" w:rsidR="003E5C95" w:rsidRPr="0077623E" w:rsidRDefault="003E5C95">
    <w:pPr>
      <w:pStyle w:val="Footer"/>
      <w:rPr>
        <w:sz w:val="16"/>
        <w:szCs w:val="16"/>
      </w:rPr>
    </w:pPr>
    <w:r w:rsidRPr="0077623E">
      <w:rPr>
        <w:noProof/>
        <w:sz w:val="16"/>
        <w:szCs w:val="16"/>
      </w:rPr>
      <w:t>{00355939.DOCX;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EB6C" w14:textId="77777777" w:rsidR="00000000" w:rsidRPr="00A85D38" w:rsidRDefault="00A85D38" w:rsidP="0063460D">
    <w:pPr>
      <w:pStyle w:val="Footer"/>
      <w:rPr>
        <w:sz w:val="16"/>
        <w:szCs w:val="16"/>
      </w:rPr>
    </w:pPr>
    <w:r w:rsidRPr="00A85D38">
      <w:rPr>
        <w:noProof/>
        <w:sz w:val="16"/>
        <w:szCs w:val="16"/>
      </w:rPr>
      <w:t>{00335298.DOCX;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0E66A" w14:textId="77777777" w:rsidR="00F65724" w:rsidRDefault="00F65724" w:rsidP="00A85D38">
      <w:r>
        <w:separator/>
      </w:r>
    </w:p>
  </w:footnote>
  <w:footnote w:type="continuationSeparator" w:id="0">
    <w:p w14:paraId="7BC891C3" w14:textId="77777777" w:rsidR="00F65724" w:rsidRDefault="00F65724" w:rsidP="00A85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EE1C" w14:textId="53DCB18D" w:rsidR="00000000" w:rsidRPr="000F0123" w:rsidRDefault="00000000">
    <w:pPr>
      <w:pStyle w:val="Header"/>
      <w:rPr>
        <w:sz w:val="16"/>
        <w:szCs w:val="16"/>
      </w:rPr>
    </w:pPr>
    <w:sdt>
      <w:sdtPr>
        <w:rPr>
          <w:sz w:val="16"/>
          <w:szCs w:val="16"/>
        </w:rPr>
        <w:id w:val="1204132138"/>
        <w:docPartObj>
          <w:docPartGallery w:val="Page Numbers (Top of Page)"/>
          <w:docPartUnique/>
        </w:docPartObj>
      </w:sdtPr>
      <w:sdtEndPr>
        <w:rPr>
          <w:noProof/>
        </w:rPr>
      </w:sdtEndPr>
      <w:sdtContent>
        <w:r w:rsidR="00A85D38" w:rsidRPr="000F0123">
          <w:rPr>
            <w:sz w:val="16"/>
            <w:szCs w:val="16"/>
          </w:rPr>
          <w:t xml:space="preserve">Page </w:t>
        </w:r>
        <w:r w:rsidR="00A85D38" w:rsidRPr="000F0123">
          <w:rPr>
            <w:sz w:val="16"/>
            <w:szCs w:val="16"/>
          </w:rPr>
          <w:fldChar w:fldCharType="begin"/>
        </w:r>
        <w:r w:rsidR="00A85D38" w:rsidRPr="000F0123">
          <w:rPr>
            <w:sz w:val="16"/>
            <w:szCs w:val="16"/>
          </w:rPr>
          <w:instrText xml:space="preserve"> PAGE   \* MERGEFORMAT </w:instrText>
        </w:r>
        <w:r w:rsidR="00A85D38" w:rsidRPr="000F0123">
          <w:rPr>
            <w:sz w:val="16"/>
            <w:szCs w:val="16"/>
          </w:rPr>
          <w:fldChar w:fldCharType="separate"/>
        </w:r>
        <w:r w:rsidR="006F7DE6">
          <w:rPr>
            <w:noProof/>
            <w:sz w:val="16"/>
            <w:szCs w:val="16"/>
          </w:rPr>
          <w:t>7</w:t>
        </w:r>
        <w:r w:rsidR="00A85D38" w:rsidRPr="000F0123">
          <w:rPr>
            <w:noProof/>
            <w:sz w:val="16"/>
            <w:szCs w:val="16"/>
          </w:rPr>
          <w:fldChar w:fldCharType="end"/>
        </w:r>
      </w:sdtContent>
    </w:sdt>
  </w:p>
  <w:p w14:paraId="32978622" w14:textId="77777777" w:rsidR="00000000" w:rsidRPr="000F0123" w:rsidRDefault="00A85D38">
    <w:pPr>
      <w:pStyle w:val="Header"/>
      <w:rPr>
        <w:sz w:val="16"/>
        <w:szCs w:val="16"/>
      </w:rPr>
    </w:pPr>
    <w:r w:rsidRPr="000F0123">
      <w:rPr>
        <w:sz w:val="16"/>
        <w:szCs w:val="16"/>
      </w:rPr>
      <w:t>Workforce Housing Conditional Use Requirements</w:t>
    </w:r>
  </w:p>
  <w:p w14:paraId="7A0197A5" w14:textId="77777777" w:rsidR="00000000" w:rsidRPr="000F0123" w:rsidRDefault="00A85D38">
    <w:pPr>
      <w:pStyle w:val="Header"/>
      <w:rPr>
        <w:sz w:val="16"/>
        <w:szCs w:val="16"/>
      </w:rPr>
    </w:pPr>
    <w:r w:rsidRPr="000F0123">
      <w:rPr>
        <w:sz w:val="16"/>
        <w:szCs w:val="16"/>
      </w:rPr>
      <w:t>Arundel Community Development Services, Inc.</w:t>
    </w:r>
  </w:p>
  <w:p w14:paraId="2A239838" w14:textId="77777777" w:rsidR="00000000" w:rsidRPr="000F0123" w:rsidRDefault="00000000" w:rsidP="000F0123">
    <w:pPr>
      <w:pStyle w:val="Header"/>
      <w:pBdr>
        <w:bottom w:val="single" w:sz="4" w:space="1" w:color="auto"/>
      </w:pBdr>
      <w:rPr>
        <w:sz w:val="16"/>
        <w:szCs w:val="16"/>
      </w:rPr>
    </w:pPr>
  </w:p>
  <w:p w14:paraId="329358D0" w14:textId="77777777" w:rsidR="00000000" w:rsidRPr="0077623E" w:rsidRDefault="00000000">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E5A3" w14:textId="77777777" w:rsidR="00000000" w:rsidRPr="00A85D38" w:rsidRDefault="00000000" w:rsidP="0097005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E61FD"/>
    <w:multiLevelType w:val="hybridMultilevel"/>
    <w:tmpl w:val="8112F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114FC"/>
    <w:multiLevelType w:val="hybridMultilevel"/>
    <w:tmpl w:val="6D18BAF0"/>
    <w:lvl w:ilvl="0" w:tplc="B1BE6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4186374">
    <w:abstractNumId w:val="0"/>
  </w:num>
  <w:num w:numId="2" w16cid:durableId="1737165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38"/>
    <w:rsid w:val="0003105E"/>
    <w:rsid w:val="000D7BB8"/>
    <w:rsid w:val="00141F9F"/>
    <w:rsid w:val="00357331"/>
    <w:rsid w:val="003E5C95"/>
    <w:rsid w:val="0040588A"/>
    <w:rsid w:val="005433AC"/>
    <w:rsid w:val="00552405"/>
    <w:rsid w:val="00553A01"/>
    <w:rsid w:val="0058204B"/>
    <w:rsid w:val="005930B3"/>
    <w:rsid w:val="006F7DE6"/>
    <w:rsid w:val="007567E4"/>
    <w:rsid w:val="00766307"/>
    <w:rsid w:val="0077623E"/>
    <w:rsid w:val="00797088"/>
    <w:rsid w:val="007D2C49"/>
    <w:rsid w:val="00941086"/>
    <w:rsid w:val="009438E5"/>
    <w:rsid w:val="00A662B0"/>
    <w:rsid w:val="00A85D38"/>
    <w:rsid w:val="00B931A5"/>
    <w:rsid w:val="00C1367F"/>
    <w:rsid w:val="00C41963"/>
    <w:rsid w:val="00C8227E"/>
    <w:rsid w:val="00D2164F"/>
    <w:rsid w:val="00D57822"/>
    <w:rsid w:val="00E022C4"/>
    <w:rsid w:val="00F45F46"/>
    <w:rsid w:val="00F534C6"/>
    <w:rsid w:val="00F6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6DF3C"/>
  <w15:chartTrackingRefBased/>
  <w15:docId w15:val="{764B5277-86DE-41FD-9A86-00A2EC2E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38"/>
    <w:pPr>
      <w:spacing w:after="0" w:line="240" w:lineRule="auto"/>
    </w:pPr>
    <w:rPr>
      <w:rFonts w:ascii="Cambria" w:hAnsi="Cambria" w:cs="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D38"/>
    <w:pPr>
      <w:ind w:left="720"/>
      <w:contextualSpacing/>
    </w:pPr>
  </w:style>
  <w:style w:type="paragraph" w:styleId="Header">
    <w:name w:val="header"/>
    <w:basedOn w:val="Normal"/>
    <w:link w:val="HeaderChar"/>
    <w:uiPriority w:val="99"/>
    <w:unhideWhenUsed/>
    <w:rsid w:val="00A85D38"/>
    <w:pPr>
      <w:tabs>
        <w:tab w:val="center" w:pos="4680"/>
        <w:tab w:val="right" w:pos="9360"/>
      </w:tabs>
    </w:pPr>
  </w:style>
  <w:style w:type="character" w:customStyle="1" w:styleId="HeaderChar">
    <w:name w:val="Header Char"/>
    <w:basedOn w:val="DefaultParagraphFont"/>
    <w:link w:val="Header"/>
    <w:uiPriority w:val="99"/>
    <w:rsid w:val="00A85D38"/>
    <w:rPr>
      <w:rFonts w:ascii="Cambria" w:hAnsi="Cambria" w:cs="Times New Roman"/>
      <w:sz w:val="23"/>
      <w:szCs w:val="23"/>
    </w:rPr>
  </w:style>
  <w:style w:type="paragraph" w:styleId="Footer">
    <w:name w:val="footer"/>
    <w:basedOn w:val="Normal"/>
    <w:link w:val="FooterChar"/>
    <w:uiPriority w:val="99"/>
    <w:unhideWhenUsed/>
    <w:rsid w:val="00A85D38"/>
    <w:pPr>
      <w:tabs>
        <w:tab w:val="center" w:pos="4680"/>
        <w:tab w:val="right" w:pos="9360"/>
      </w:tabs>
    </w:pPr>
  </w:style>
  <w:style w:type="character" w:customStyle="1" w:styleId="FooterChar">
    <w:name w:val="Footer Char"/>
    <w:basedOn w:val="DefaultParagraphFont"/>
    <w:link w:val="Footer"/>
    <w:uiPriority w:val="99"/>
    <w:rsid w:val="00A85D38"/>
    <w:rPr>
      <w:rFonts w:ascii="Cambria" w:hAnsi="Cambria" w:cs="Times New Roman"/>
      <w:sz w:val="23"/>
      <w:szCs w:val="23"/>
    </w:rPr>
  </w:style>
  <w:style w:type="table" w:styleId="TableGrid">
    <w:name w:val="Table Grid"/>
    <w:basedOn w:val="TableNormal"/>
    <w:uiPriority w:val="59"/>
    <w:rsid w:val="00A85D38"/>
    <w:pPr>
      <w:spacing w:after="0" w:line="240" w:lineRule="auto"/>
    </w:pPr>
    <w:rPr>
      <w:rFonts w:ascii="Cambria" w:hAnsi="Cambria"/>
      <w:bCs/>
      <w:sz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5D38"/>
    <w:rPr>
      <w:color w:val="0563C1" w:themeColor="hyperlink"/>
      <w:u w:val="single"/>
    </w:rPr>
  </w:style>
  <w:style w:type="paragraph" w:styleId="BalloonText">
    <w:name w:val="Balloon Text"/>
    <w:basedOn w:val="Normal"/>
    <w:link w:val="BalloonTextChar"/>
    <w:uiPriority w:val="99"/>
    <w:semiHidden/>
    <w:unhideWhenUsed/>
    <w:rsid w:val="00D578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822"/>
    <w:rPr>
      <w:rFonts w:ascii="Segoe UI" w:hAnsi="Segoe UI" w:cs="Segoe UI"/>
      <w:sz w:val="18"/>
      <w:szCs w:val="18"/>
    </w:rPr>
  </w:style>
  <w:style w:type="character" w:styleId="CommentReference">
    <w:name w:val="annotation reference"/>
    <w:basedOn w:val="DefaultParagraphFont"/>
    <w:uiPriority w:val="99"/>
    <w:semiHidden/>
    <w:unhideWhenUsed/>
    <w:rsid w:val="00141F9F"/>
    <w:rPr>
      <w:sz w:val="16"/>
      <w:szCs w:val="16"/>
    </w:rPr>
  </w:style>
  <w:style w:type="paragraph" w:styleId="CommentText">
    <w:name w:val="annotation text"/>
    <w:basedOn w:val="Normal"/>
    <w:link w:val="CommentTextChar"/>
    <w:uiPriority w:val="99"/>
    <w:semiHidden/>
    <w:unhideWhenUsed/>
    <w:rsid w:val="00141F9F"/>
    <w:rPr>
      <w:sz w:val="20"/>
      <w:szCs w:val="20"/>
    </w:rPr>
  </w:style>
  <w:style w:type="character" w:customStyle="1" w:styleId="CommentTextChar">
    <w:name w:val="Comment Text Char"/>
    <w:basedOn w:val="DefaultParagraphFont"/>
    <w:link w:val="CommentText"/>
    <w:uiPriority w:val="99"/>
    <w:semiHidden/>
    <w:rsid w:val="00141F9F"/>
    <w:rPr>
      <w:rFonts w:ascii="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41F9F"/>
    <w:rPr>
      <w:b/>
      <w:bCs/>
    </w:rPr>
  </w:style>
  <w:style w:type="character" w:customStyle="1" w:styleId="CommentSubjectChar">
    <w:name w:val="Comment Subject Char"/>
    <w:basedOn w:val="CommentTextChar"/>
    <w:link w:val="CommentSubject"/>
    <w:uiPriority w:val="99"/>
    <w:semiHidden/>
    <w:rsid w:val="00141F9F"/>
    <w:rPr>
      <w:rFonts w:ascii="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files.hudexchange.info/resources/documents/HOMEGuideForIncomeAndAllowanc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ebb2cf-82f3-4064-ad77-d3ddd131cef6" xsi:nil="true"/>
    <lcf76f155ced4ddcb4097134ff3c332f xmlns="01abe606-f5fb-48e7-bac7-a003fe14228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14BCDFC25CF4BB7E8ED33C9FEC93A" ma:contentTypeVersion="14" ma:contentTypeDescription="Create a new document." ma:contentTypeScope="" ma:versionID="072f276d163c8dea0d830fb1b28cef37">
  <xsd:schema xmlns:xsd="http://www.w3.org/2001/XMLSchema" xmlns:xs="http://www.w3.org/2001/XMLSchema" xmlns:p="http://schemas.microsoft.com/office/2006/metadata/properties" xmlns:ns2="01abe606-f5fb-48e7-bac7-a003fe142289" xmlns:ns3="0cebb2cf-82f3-4064-ad77-d3ddd131cef6" targetNamespace="http://schemas.microsoft.com/office/2006/metadata/properties" ma:root="true" ma:fieldsID="1364607f2605dc333a4fc49561acb7f3" ns2:_="" ns3:_="">
    <xsd:import namespace="01abe606-f5fb-48e7-bac7-a003fe142289"/>
    <xsd:import namespace="0cebb2cf-82f3-4064-ad77-d3ddd131ce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be606-f5fb-48e7-bac7-a003fe142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2ebc7ac-6038-4495-bbc2-1653dc8a08e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bb2cf-82f3-4064-ad77-d3ddd131cef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28b091e-27f8-4ecb-9881-ba1e5f0ce8b2}" ma:internalName="TaxCatchAll" ma:showField="CatchAllData" ma:web="0cebb2cf-82f3-4064-ad77-d3ddd131cef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A01FD2-EF29-4493-8FCD-E2FFFBB10058}">
  <ds:schemaRefs>
    <ds:schemaRef ds:uri="http://schemas.microsoft.com/office/2006/metadata/properties"/>
    <ds:schemaRef ds:uri="http://schemas.microsoft.com/office/infopath/2007/PartnerControls"/>
    <ds:schemaRef ds:uri="0cebb2cf-82f3-4064-ad77-d3ddd131cef6"/>
    <ds:schemaRef ds:uri="01abe606-f5fb-48e7-bac7-a003fe142289"/>
  </ds:schemaRefs>
</ds:datastoreItem>
</file>

<file path=customXml/itemProps2.xml><?xml version="1.0" encoding="utf-8"?>
<ds:datastoreItem xmlns:ds="http://schemas.openxmlformats.org/officeDocument/2006/customXml" ds:itemID="{4A2F7200-2536-46E2-BF58-6DA1EA836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be606-f5fb-48e7-bac7-a003fe142289"/>
    <ds:schemaRef ds:uri="0cebb2cf-82f3-4064-ad77-d3ddd131c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5CB052-4FC8-4F29-AC98-7778F8E890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2011</Words>
  <Characters>11467</Characters>
  <Application>Microsoft Office Word</Application>
  <DocSecurity>0</DocSecurity>
  <PresentationFormat>15|.DOCX</PresentationFormat>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00355939.DOCX;  1</dc:subject>
  <dc:creator>Allyson Dlugokeski</dc:creator>
  <cp:keywords/>
  <dc:description/>
  <cp:lastModifiedBy>Erin Shearman Karpewicz</cp:lastModifiedBy>
  <cp:revision>10</cp:revision>
  <cp:lastPrinted>2021-11-12T15:56:00Z</cp:lastPrinted>
  <dcterms:created xsi:type="dcterms:W3CDTF">2023-07-24T18:47:00Z</dcterms:created>
  <dcterms:modified xsi:type="dcterms:W3CDTF">2023-10-09T20:56:00Z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0x01010042F14BCDFC25CF4BB7E8ED33C9FEC93A</vt:lpwstr>
  </property>
  <property fmtid="{D5CDD505-2E9C-101B-9397-08002B2CF9AE}" pid="3" name="MediaServiceImageTags">
    <vt:lpwstr/>
  </property>
</Properties>
</file>